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ImmoWertV — Weitere Grundstücksmerkmale</w:t>
      </w:r>
    </w:p>
    <w:p>
      <w:r>
        <w:rPr>
          <w:color w:val="555555"/>
          <w:sz w:val="18"/>
        </w:rPr>
        <w:t xml:space="preserve">Immobilienwertermittlungsverordnung</w:t>
      </w:r>
    </w:p>
    <w:p>
      <w:r>
        <w:rPr>
          <w:color w:val="555555"/>
          <w:sz w:val="18"/>
        </w:rPr>
        <w:t xml:space="preserve">Historische Fassung: Stand 10.06.2019 bis 01.01.2022. Dies ist nicht die aktuelle Fassung.</w:t>
      </w:r>
    </w:p>
    <w:p>
      <w:r>
        <w:t xml:space="preserve">(1) Art und Maß der baulichen oder sonstigen Nutzung ergeben sich in der Regel aus den für die planungsrechtliche Zulässigkeit von Vorhaben maßgeblichen §§ 30, 33 und 34 des Baugesetzbuchs und den sonstigen Vorschriften, die die Nutzbarkeit betreffen. Wird vom Maß der zulässigen Nutzung in der Umgebung regelmäßig abgewichen, ist die Nutzung maßgebend, die im gewöhnlichen Geschäftsverkehr zugrunde gelegt wird.</w:t>
      </w:r>
    </w:p>
    <w:p>
      <w:r>
        <w:t xml:space="preserve">(2) Als wertbeeinflussende Rechte und Belastungen kommen insbesondere Dienstbarkeiten, Nutzungsrechte, Baulasten sowie wohnungs- und mietrechtliche Bindungen in Betracht.</w:t>
      </w:r>
    </w:p>
    <w:p>
      <w:r>
        <w:t xml:space="preserve">(3) Für den abgabenrechtlichen Zustand des Grundstücks ist die Pflicht zur Entrichtung von nichtsteuerlichen Abgaben maßgebend.</w:t>
      </w:r>
    </w:p>
    <w:p>
      <w:r>
        <w:t xml:space="preserve">(4) Lagemerkmale von Grundstücken sind insbesondere die Verkehrsanbindung, die Nachbarschaft, die Wohn- und Geschäftslage sowie die Umwelteinflüsse.</w:t>
      </w:r>
    </w:p>
    <w:p>
      <w:r>
        <w:t xml:space="preserve">(5) Weitere Merkmale sind insbesondere die tatsächliche Nutzung, die Erträge, die Grundstücksgröße, der Grundstückszuschnitt und die Bodenbeschaffenheit wie beispielsweise Bodengüte, Eignung als Baugrund oder schädliche Bodenveränderungen. Bei bebauten Grundstücken sind dies zusätzlich insbesondere die Gebäudeart, die Bauweise und Baugestaltung, die Größe, Ausstattung und Qualität, der bauliche Zustand, die energetischen Eigenschaften, das Baujahr und die Restnutzungsdauer.</w:t>
      </w:r>
    </w:p>
    <w:p>
      <w:r>
        <w:t xml:space="preserve">(6) Die Restnutzungsdauer ist die Zahl der Jahre, in denen die baulichen Anlagen bei ordnungsgemäßer Bewirtschaftung voraussichtlich noch wirtschaftlich genutzt werden können; durchgeführte Instandsetzungen oder Modernisierungen oder unterlassene Instandhaltungen oder andere Gegebenheiten können die Restnutzungsdauer verlängern oder verkürzen. Modernisierungen sind beispielsweise Maßnahmen, die eine wesentliche Verbesserung der Wohn- oder sonstigen Nutzungsverhältnisse oder wesentliche Einsparungen von Energie oder Wasser bewirken.</w:t>
      </w:r>
    </w:p>
    <w:p>
      <w:r>
        <w:rPr>
          <w:color w:val="555555"/>
          <w:sz w:val="17"/>
        </w:rPr>
        <w:t xml:space="preserve">Zitiervorschlag: § 6 ImmoWertV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https://recht.nulegal.eu/gesetze/immowertv--2010/6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