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ImmoWertV — Entwicklungszustand</w:t>
      </w:r>
    </w:p>
    <w:p>
      <w:r>
        <w:rPr>
          <w:color w:val="555555"/>
          <w:sz w:val="18"/>
        </w:rPr>
        <w:t xml:space="preserve">Immobilienwertermittlungsverordnung</w:t>
      </w:r>
    </w:p>
    <w:p>
      <w:r>
        <w:rPr>
          <w:color w:val="555555"/>
          <w:sz w:val="18"/>
        </w:rPr>
        <w:t xml:space="preserve">Historische Fassung: Stand 10.06.2019 bis 01.01.2022. Dies ist nicht die aktuelle Fassung.</w:t>
      </w:r>
    </w:p>
    <w:p>
      <w:r>
        <w:t xml:space="preserve">(1) Flächen der Land- oder Forstwirtschaft sind Flächen, die, ohne Bauerwartungsland, Rohbauland oder baureifes Land zu sein, land- oder forstwirtschaftlich nutzbar sind.</w:t>
      </w:r>
    </w:p>
    <w:p>
      <w:r>
        <w:t xml:space="preserve">(2) Bauerwartungsland sind Flächen, die nach ihren weiteren Grundstücksmerkmalen (§ 6), insbesondere dem Stand der Bauleitplanung und der sonstigen städtebaulichen Entwicklung des Gebiets, eine bauliche Nutzung auf Grund konkreter Tatsachen mit hinreichender Sicherheit erwarten lassen.</w:t>
      </w:r>
    </w:p>
    <w:p>
      <w:r>
        <w:t xml:space="preserve">(3) Rohbauland sind Flächen, die nach den §§ 30, 33 und 34 des Baugesetzbuchs für eine bauliche Nutzung bestimmt sind, deren Erschließung aber noch nicht gesichert ist oder die nach Lage, Form oder Größe für eine bauliche Nutzung unzureichend gestaltet sind.</w:t>
      </w:r>
    </w:p>
    <w:p>
      <w:r>
        <w:t xml:space="preserve">(4) Baureifes Land sind Flächen, die nach öffentlich-rechtlichen Vorschriften und den tatsächlichen Gegebenheiten baulich nutzbar sind.</w:t>
      </w:r>
    </w:p>
    <w:p>
      <w:r>
        <w:rPr>
          <w:color w:val="555555"/>
          <w:sz w:val="17"/>
        </w:rPr>
        <w:t xml:space="preserve">Zitiervorschlag: § 5 ImmoWertV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https://recht.nulegal.eu/gesetze/immowertv--2010/5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ImmoWertV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