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ImmoWertV — Qualitätsstichtag und Grundstückszustand</w:t>
      </w:r>
    </w:p>
    <w:p>
      <w:r>
        <w:rPr>
          <w:color w:val="555555"/>
          <w:sz w:val="18"/>
        </w:rPr>
        <w:t xml:space="preserve">Immobilienwertermittlungsverordnung</w:t>
      </w:r>
    </w:p>
    <w:p>
      <w:r>
        <w:rPr>
          <w:color w:val="555555"/>
          <w:sz w:val="18"/>
        </w:rPr>
        <w:t xml:space="preserve">Historische Fassung: Stand 10.06.2019 bis 01.01.2022. Dies ist nicht die aktuelle Fassung.</w:t>
      </w:r>
    </w:p>
    <w:p>
      <w:r>
        <w:t xml:space="preserve">(1) Der Qualitätsstichtag ist der Zeitpunkt, auf den sich der für die Wertermittlung maßgebliche Grundstückszustand bezieht. Er entspricht dem Wertermittlungsstichtag, es sei denn, dass aus rechtlichen oder sonstigen Gründen der Zustand des Grundstücks zu einem anderen Zeitpunkt maßgebend ist.</w:t>
      </w:r>
    </w:p>
    <w:p>
      <w:r>
        <w:t xml:space="preserve">(2) Der Zustand eines Grundstücks bestimmt sich nach der Gesamtheit der verkehrswertbeeinflussenden rechtlichen Gegebenheiten und tatsächlichen Eigenschaften, der sonstigen Beschaffenheit und der Lage des Grundstücks (Grundstücksmerkmale). Zu den Grundstücksmerkmalen gehören insbesondere der Entwicklungszustand (§ 5), die Art und das Maß der baulichen oder sonstigen Nutzung (§ 6 Absatz 1), die wertbeeinflussenden Rechte und Belastungen (§ 6 Absatz 2), der abgabenrechtliche Zustand (§ 6 Absatz 3), die Lagemerkmale (§ 6 Absatz 4) und die weiteren Merkmale (§ 6 Absatz 5 und 6).</w:t>
      </w:r>
    </w:p>
    <w:p>
      <w:r>
        <w:t xml:space="preserve">(3) Neben dem Entwicklungszustand (§ 5) ist bei der Wertermittlung insbesondere zu berücksichtigen, ob am Qualitätsstichtag</w:t>
      </w:r>
    </w:p>
    <w:p>
      <w:pPr>
        <w:ind w:left="420"/>
      </w:pPr>
      <w:r>
        <w:t xml:space="preserve">1. eine anderweitige Nutzung von Flächen absehbar ist,</w:t>
      </w:r>
    </w:p>
    <w:p>
      <w:pPr>
        <w:ind w:left="420"/>
      </w:pPr>
      <w:r>
        <w:t xml:space="preserve">2. Flächen auf Grund ihrer Vornutzung nur mit erheblich über dem Üblichen liegenden Aufwand einer baulichen oder sonstigen Nutzung zugeführt werden können,</w:t>
      </w:r>
    </w:p>
    <w:p>
      <w:pPr>
        <w:ind w:left="420"/>
      </w:pPr>
      <w:r>
        <w:t xml:space="preserve">3. Flächen von städtebaulichen Missständen oder erheblichen städtebaulichen Funktionsverlusten betroffen sind,</w:t>
      </w:r>
    </w:p>
    <w:p>
      <w:pPr>
        <w:ind w:left="420"/>
      </w:pPr>
      <w:r>
        <w:t xml:space="preserve">4. Flächen einer dauerhaften öffentlichen Zweckbestimmung unterliegen,</w:t>
      </w:r>
    </w:p>
    <w:p>
      <w:pPr>
        <w:ind w:left="420"/>
      </w:pPr>
      <w:r>
        <w:t xml:space="preserve">5. Flächen für bauliche Anlagen zur Erforschung, Entwicklung oder Nutzung von Erneuerbaren Energien bestimmt sind,</w:t>
      </w:r>
    </w:p>
    <w:p>
      <w:pPr>
        <w:ind w:left="420"/>
      </w:pPr>
      <w:r>
        <w:t xml:space="preserve">6. Flächen zum Ausgleich für Eingriffe in Natur und Landschaft genutzt werden oder ob sich auf Flächen gesetzlich geschützte Biotope befinden.</w:t>
      </w:r>
    </w:p>
    <w:p>
      <w:r>
        <w:rPr>
          <w:color w:val="555555"/>
          <w:sz w:val="17"/>
        </w:rPr>
        <w:t xml:space="preserve">Zitiervorschlag: § 4 ImmoWertV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https://recht.nulegal.eu/gesetze/immowertv--2010/4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