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ImmoWertV — Wertermittlungsstichtag und allgemeine Wertverhältnisse</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(1) Der Wertermittlungsstichtag ist der Zeitpunkt, auf den sich die Wertermittlung bezieht.</w:t>
      </w:r>
    </w:p>
    <w:p>
      <w:r>
        <w:t xml:space="preserve">(2) Die allgemeinen Wertverhältnisse auf dem Grundstücksmarkt bestimmen sich nach der Gesamtheit der am Wertermittlungsstichtag für die Preisbildung von Grundstücken im gewöhnlichen Geschäftsverkehr (marktüblich) maßgebenden Umstände wie nach der allgemeinen Wirtschaftslage, den Verhältnissen am Kapitalmarkt sowie den wirtschaftlichen und demographischen Entwicklungen des Gebiets.</w:t>
      </w:r>
    </w:p>
    <w:p>
      <w:r>
        <w:rPr>
          <w:color w:val="555555"/>
          <w:sz w:val="17"/>
        </w:rPr>
        <w:t xml:space="preserve">Zitiervorschlag: § 3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ImmoWertV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