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ImmoWertV — Ermittlung des Sachwerts</w:t>
      </w:r>
    </w:p>
    <w:p>
      <w:r>
        <w:rPr>
          <w:color w:val="555555"/>
          <w:sz w:val="18"/>
        </w:rPr>
        <w:t xml:space="preserve">Immobilienwertermittlungsverordnung</w:t>
      </w:r>
    </w:p>
    <w:p>
      <w:r>
        <w:rPr>
          <w:color w:val="555555"/>
          <w:sz w:val="18"/>
        </w:rPr>
        <w:t xml:space="preserve">Historische Fassung: Stand 10.06.2019 bis 01.01.2022. Dies ist nicht die aktuelle Fassung.</w:t>
      </w:r>
    </w:p>
    <w:p>
      <w:r>
        <w:t xml:space="preserve">(1) Im Sachwertverfahren wird der Sachwert des Grundstücks aus dem Sachwert der nutzbaren baulichen und sonstigen Anlagen sowie dem Bodenwert (§ 16) ermittelt; die allgemeinen Wertverhältnisse auf dem Grundstücksmarkt sind insbesondere durch die Anwendung von Sachwertfaktoren (§ 14 Absatz 2 Nummer 1) zu berücksichtigen.</w:t>
      </w:r>
    </w:p>
    <w:p>
      <w:r>
        <w:t xml:space="preserve">(2) Der Sachwert der baulichen Anlagen (ohne Außenanlagen) ist ausgehend von den Herstellungskosten (§ 22) unter Berücksichtigung der Alterswertminderung (§ 23) zu ermitteln.</w:t>
      </w:r>
    </w:p>
    <w:p>
      <w:r>
        <w:t xml:space="preserve">(3) Der Sachwert der baulichen Außenanlagen und der sonstigen Anlagen wird, soweit sie nicht vom Bodenwert miterfasst werden, nach Erfahrungssätzen oder nach den gewöhnlichen Herstellungskosten ermittelt. Die §§ 22 und 23 sind entsprechend anzuwenden.</w:t>
      </w:r>
    </w:p>
    <w:p>
      <w:r>
        <w:rPr>
          <w:color w:val="555555"/>
          <w:sz w:val="17"/>
        </w:rPr>
        <w:t xml:space="preserve">Zitiervorschlag: § 21 ImmoWertV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https://recht.nulegal.eu/gesetze/immowertv--2010/21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