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ImmoWertV — Kapitalisierung und Abzinsung</w:t>
      </w:r>
    </w:p>
    <w:p>
      <w:r>
        <w:rPr>
          <w:color w:val="555555"/>
          <w:sz w:val="18"/>
        </w:rPr>
        <w:t xml:space="preserve">Immobilienwertermittlungsverordnung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Der Kapitalisierung und Abzinsung sind Barwertfaktoren zugrunde zu legen. Der jeweilige Barwertfaktor ist unter Berücksichtigung der Restnutzungsdauer (§ 6 Absatz 6 Satz 1) und des jeweiligen Liegenschaftszinssatzes (§ 14 Absatz 3) der Anlage 1 oder der Anlage 2 zu entnehmen oder nach der dort angegebenen Berechnungsvorschrift zu bestimmen.</w:t>
      </w:r>
    </w:p>
    <w:p>
      <w:r>
        <w:rPr>
          <w:color w:val="555555"/>
          <w:sz w:val="17"/>
        </w:rPr>
        <w:t xml:space="preserve">Zitiervorschlag: § 20 ImmoWertV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https://recht.nulegal.eu/gesetze/immowertv--2010/20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ImmoWertV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