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ImmoWertV — Grundlagen der Wertermittlung</w:t>
      </w:r>
    </w:p>
    <w:p>
      <w:r>
        <w:rPr>
          <w:color w:val="555555"/>
          <w:sz w:val="18"/>
        </w:rPr>
        <w:t xml:space="preserve">Immobilienwertermittlungsverordnung</w:t>
      </w:r>
    </w:p>
    <w:p>
      <w:r>
        <w:rPr>
          <w:color w:val="555555"/>
          <w:sz w:val="18"/>
        </w:rPr>
        <w:t xml:space="preserve">Historische Fassung: Stand 10.06.2019 bis 01.01.2022. Dies ist nicht die aktuelle Fassung.</w:t>
      </w:r>
    </w:p>
    <w:p>
      <w:r>
        <w:t xml:space="preserve">Der Wertermittlung sind die allgemeinen Wertverhältnisse auf dem Grundstücksmarkt am Wertermittlungsstichtag (§ 3) und der Grundstückszustand am Qualitätsstichtag (§ 4) zugrunde zu legen. Künftige Entwicklungen wie beispielsweise absehbare anderweitige Nutzungen (§ 4 Absatz 3 Nummer 1) sind zu berücksichtigen, wenn sie mit hinreichender Sicherheit auf Grund konkreter Tatsachen zu erwarten sind. In diesen Fällen ist auch die voraussichtliche Dauer bis zum Eintritt der rechtlichen und tatsächlichen Voraussetzungen für die Realisierbarkeit einer baulichen oder sonstigen Nutzung eines Grundstücks (Wartezeit) zu berücksichtigen.</w:t>
      </w:r>
    </w:p>
    <w:p>
      <w:r>
        <w:rPr>
          <w:color w:val="555555"/>
          <w:sz w:val="17"/>
        </w:rPr>
        <w:t xml:space="preserve">Zitiervorschlag: § 2 ImmoWertV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