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ImmoWertV — Ermittlung des Bodenwerts</w:t>
      </w:r>
    </w:p>
    <w:p>
      <w:r>
        <w:rPr>
          <w:color w:val="555555"/>
          <w:sz w:val="18"/>
        </w:rPr>
        <w:t xml:space="preserve">Immobilienwertermittlungsverordnung</w:t>
      </w:r>
    </w:p>
    <w:p>
      <w:r>
        <w:rPr>
          <w:color w:val="555555"/>
          <w:sz w:val="18"/>
        </w:rPr>
        <w:t xml:space="preserve">Historische Fassung: Stand 10.06.2019 bis 01.01.2022. Dies ist nicht die aktuelle Fassung.</w:t>
      </w:r>
    </w:p>
    <w:p>
      <w:r>
        <w:t xml:space="preserve">(1) Der Wert des Bodens ist vorbehaltlich der Absätze 2 bis 4 ohne Berücksichtigung der vorhandenen baulichen Anlagen auf dem Grundstück vorrangig im Vergleichswertverfahren (§ 15) zu ermitteln. Dabei kann der Bodenwert auch auf der Grundlage geeigneter Bodenrichtwerte ermittelt werden. Bodenrichtwerte sind geeignet, wenn die Merkmale des zugrunde gelegten Richtwertgrundstücks hinreichend mit den Grundstücksmerkmalen des zu bewertenden Grundstücks übereinstimmen. § 15 Absatz 1 Satz 3 und 4 ist entsprechend anzuwenden.</w:t>
      </w:r>
    </w:p>
    <w:p>
      <w:r>
        <w:t xml:space="preserve">(2) Vorhandene bauliche Anlagen auf einem Grundstück im Außenbereich (§ 35 des Baugesetzbuchs) sind bei der Ermittlung des Bodenwerts zu berücksichtigen, wenn sie rechtlich und wirtschaftlich weiterhin nutzbar sind.</w:t>
      </w:r>
    </w:p>
    <w:p>
      <w:r>
        <w:t xml:space="preserve">(3) Ist alsbald mit einem Abriss von baulichen Anlagen zu rechnen, ist der Bodenwert um die üblichen Freilegungskosten zu mindern, soweit sie im gewöhnlichen Geschäftsverkehr berücksichtigt werden. Von einer alsbaldigen Freilegung kann ausgegangen werden, wenn</w:t>
      </w:r>
    </w:p>
    <w:p>
      <w:pPr>
        <w:ind w:left="420"/>
      </w:pPr>
      <w:r>
        <w:t xml:space="preserve">1. die baulichen Anlagen nicht mehr nutzbar sind oder</w:t>
      </w:r>
    </w:p>
    <w:p>
      <w:pPr>
        <w:ind w:left="420"/>
      </w:pPr>
      <w:r>
        <w:t xml:space="preserve">2. der nicht abgezinste Bodenwert ohne Berücksichtigung der Freilegungskosten den im Ertragswertverfahren (§§ 17 bis 20) ermittelten Ertragswert erreicht oder übersteigt.</w:t>
      </w:r>
    </w:p>
    <w:p>
      <w:r>
        <w:t xml:space="preserve">(4) Ein erhebliches Abweichen der tatsächlichen von der nach § 6 Absatz 1 maßgeblichen Nutzung, wie insbesondere eine erhebliche Beeinträchtigung der Nutzbarkeit durch vorhandene bauliche Anlagen auf einem Grundstück, ist bei der Ermittlung des Bodenwerts zu berücksichtigen, soweit dies dem gewöhnlichen Geschäftsverkehr entspricht.</w:t>
      </w:r>
    </w:p>
    <w:p>
      <w:r>
        <w:t xml:space="preserve">(5) Bei der Ermittlung der sanierungs- oder entwicklungsbedingten Bodenwerterhöhung zur Bemessung von Ausgleichsbeträgen nach § 154 Absatz 1 oder § 166 Absatz 3 Satz 4 des Baugesetzbuchs sind die Anfangs- und Endwerte auf denselben Zeitpunkt zu ermitteln.</w:t>
      </w:r>
    </w:p>
    <w:p>
      <w:r>
        <w:rPr>
          <w:color w:val="555555"/>
          <w:sz w:val="17"/>
        </w:rPr>
        <w:t xml:space="preserve">Zitiervorschlag: § 16 ImmoWertV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https://recht.nulegal.eu/gesetze/immowertv--2010/16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