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ImmoWertV — Anwendungsbereich</w:t>
      </w:r>
    </w:p>
    <w:p>
      <w:r>
        <w:rPr>
          <w:color w:val="555555"/>
          <w:sz w:val="18"/>
        </w:rPr>
        <w:t xml:space="preserve">Immobilienwertermittlungsverordnung</w:t>
      </w:r>
    </w:p>
    <w:p>
      <w:r>
        <w:rPr>
          <w:color w:val="555555"/>
          <w:sz w:val="18"/>
        </w:rPr>
        <w:t xml:space="preserve">Historische Fassung: Stand 10.06.2019 bis 01.01.2022. Dies ist nicht die aktuelle Fassung.</w:t>
      </w:r>
    </w:p>
    <w:p>
      <w:r>
        <w:t xml:space="preserve">(1) Bei der Ermittlung der Verkehrswerte (Marktwerte) von Grundstücken, ihrer Bestandteile sowie ihres Zubehörs und bei der Ableitung der für die Wertermittlung erforderlichen Daten einschließlich der Bodenrichtwerte ist diese Verordnung anzuwenden.</w:t>
      </w:r>
    </w:p>
    <w:p>
      <w:r>
        <w:t xml:space="preserve">(2) Die nachfolgenden Vorschriften sind auf grundstücksgleiche Rechte, Rechte an diesen und Rechte an Grundstücken sowie auf solche Wertermittlungsobjekte, für die kein Markt besteht, entsprechend anzuwenden. In diesen Fällen kann der Wert auf der Grundlage marktkonformer Modelle unter besonderer Berücksichtigung der wirtschaftlichen Vor- und Nachteile ermittelt werden.</w:t>
      </w:r>
    </w:p>
    <w:p>
      <w:r>
        <w:rPr>
          <w:color w:val="555555"/>
          <w:sz w:val="17"/>
        </w:rPr>
        <w:t xml:space="preserve">Zitiervorschlag: § 1 ImmoWertV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https://recht.nulegal.eu/gesetze/immowertv--2010/1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