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(1) Die beiden in Artikel 1 genannten Abkommen werden nachstehend mit Gesetzeskraft veröffentlicht.</w:t>
      </w:r>
    </w:p>
    <w:p>
      <w:r>
        <w:t xml:space="preserve">(2)</w:t>
      </w:r>
    </w:p>
    <w:p>
      <w:r>
        <w:rPr>
          <w:color w:val="555555"/>
          <w:sz w:val="17"/>
        </w:rPr>
        <w:t xml:space="preserve">Zitiervorschlag: Art 5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