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HygPV</w:t>
      </w:r>
    </w:p>
    <w:p>
      <w:r>
        <w:rPr>
          <w:color w:val="555555"/>
          <w:sz w:val="18"/>
        </w:rPr>
        <w:t xml:space="preserve">Hygienepauschaleverordnung</w:t>
      </w:r>
    </w:p>
    <w:p>
      <w:r>
        <w:rPr>
          <w:color w:val="555555"/>
          <w:sz w:val="18"/>
        </w:rPr>
        <w:t xml:space="preserve">Historische Fassung: Stand 08.04.2021 bis 30.12.2021. Dies ist nicht die aktuelle Fassung.</w:t>
      </w:r>
    </w:p>
    <w:p>
      <w:r>
        <w:t xml:space="preserve">Auf Grund des § 125b Absatz 2a Satz 1 des Fünften Buches Sozialgesetzbuch, der durch Artikel 1 Nummer 4a Buchstabe b des Gesetzes vom 22. Dezember 2020 (BGBl. I S. 3299)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HygPV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https://recht.nulegal.eu/gesetze/hygpv--2021/eingangsformel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