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HeilvfV</w:t>
      </w:r>
    </w:p>
    <w:p>
      <w:r>
        <w:rPr>
          <w:color w:val="555555"/>
          <w:sz w:val="18"/>
        </w:rPr>
        <w:t xml:space="preserve">Heilverfahrensverordnung</w:t>
      </w:r>
    </w:p>
    <w:p>
      <w:r>
        <w:rPr>
          <w:color w:val="555555"/>
          <w:sz w:val="18"/>
        </w:rPr>
        <w:t xml:space="preserve">Historische Fassung: Stand 10.06.2019 bis 14.11.2020. Dies ist nicht die aktuelle Fassung.</w:t>
      </w:r>
    </w:p>
    <w:p>
      <w:r>
        <w:t xml:space="preserve">Auf Grund des § 33 Abs. 5 des Beamtenversorgungsgesetzes vom 24. August 1976 (BGBl. I S. 2485) verordnet die Bundesregierung mit Zustimmung des Bundesrates:</w:t>
      </w:r>
    </w:p>
    <w:p>
      <w:r>
        <w:rPr>
          <w:color w:val="555555"/>
          <w:sz w:val="17"/>
        </w:rPr>
        <w:t xml:space="preserve">Zitiervorschlag: Eingangsformel HeilvfV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https://recht.nulegal.eu/gesetze/heilvfv--1979/eingangsformel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