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HeilvfV</w:t>
      </w:r>
    </w:p>
    <w:p>
      <w:r>
        <w:rPr>
          <w:color w:val="555555"/>
          <w:sz w:val="18"/>
        </w:rPr>
        <w:t xml:space="preserve">Heilverfahrensverordnung</w:t>
      </w:r>
    </w:p>
    <w:p>
      <w:r>
        <w:rPr>
          <w:color w:val="555555"/>
          <w:sz w:val="18"/>
        </w:rPr>
        <w:t xml:space="preserve">Historische Fassung: Stand 10.06.2019 bis 14.11.2020. Dies ist nicht die aktuelle Fassung.</w:t>
      </w:r>
    </w:p>
    <w:p>
      <w:r>
        <w:t xml:space="preserve">(1) Die Kosten für Hilfsmittel (Körperersatzstücke, orthopädische und andere Hilfsmittel) und deren Zubehör, soweit sie 600 Euro übersteigen, sowie die Kosten für eine notwendige Ausbildung in ihrem Gebrauch werden grundsätzlich nur erstattet, wenn die Dienstbehörde die Erstattung vorher zugesagt hat. Die Hilfsmittel müssen schriftlich verordnet und den persönlichen und beruflichen Bedürfnissen des Verletzten angepaßt sein.</w:t>
      </w:r>
    </w:p>
    <w:p>
      <w:r>
        <w:t xml:space="preserve">(2) Als Kosten für Hilfsmittel nach Absatz 1 gelten auch die Kosten für ihre Wartung sowie ihre Instandsetzung und ihren Ersatz, wenn die Unbrauchbarkeit oder der Verlust nicht auf Mißbrauch, Vorsatz oder grober Fahrlässigkeit des Verletzten beruht. Bei Erstattung der Kosten für den Ersatz eines unbrauchbar gewordenen Hilfsmittels kann sein Verkaufswert angerechnet werden.</w:t>
      </w:r>
    </w:p>
    <w:p>
      <w:r>
        <w:t xml:space="preserve">(3) Die Erstattung der Kosten für Hilfsmittel kann davon abhängig gemacht werden, daß der Verletzte sie sich anpassen läßt oder sich einer Ausbildung unterzieht, um mit ihrem Gebrauch vertraut zu werden.</w:t>
      </w:r>
    </w:p>
    <w:p>
      <w:r>
        <w:t xml:space="preserve">(4) Blinden werden die Kosten für die Beschaffung und den Ersatz eines Führhundes erstattet; die Absätze 1 bis 3 gelten sinngemäß. Zum Unterhalt des Hundes wird der Betrag gewährt, der nach dem Bundesversorgungsgesetz jeweils für den gleichen Zweck vorgesehen ist. Wird ein Führhund nicht gehalten, weil er nicht verwendet werden kann, werden die Kosten für fremde Führung erstattet. Wird ein Führhund aus anderen Gründen nicht gehalten, werden nur die Kosten bis zur Höhe des in Satz 2 genannten Betrages erstattet.</w:t>
      </w:r>
    </w:p>
    <w:p>
      <w:r>
        <w:t xml:space="preserve">(5) Die §§ 1 bis 11 der Verordnung zur Durchführung des § 11 Abs. 3 und des § 13 des Bundesversorgungsgesetzes in der Fassung der Bekanntmachung vom 19. Januar 1971 (BGBl. I S. 43) sind in der jeweils geltenden Fassung entsprechend anzuwenden, soweit sich aus dieser Verordnung nichts anderes ergibt.</w:t>
      </w:r>
    </w:p>
    <w:p>
      <w:r>
        <w:rPr>
          <w:color w:val="555555"/>
          <w:sz w:val="17"/>
        </w:rPr>
        <w:t xml:space="preserve">Zitiervorschlag: § 7 HeilvfV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https://recht.nulegal.eu/gesetze/heilvfv--1979/7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HeilvfV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