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HeilvfV</w:t>
      </w:r>
    </w:p>
    <w:p>
      <w:r>
        <w:rPr>
          <w:color w:val="555555"/>
          <w:sz w:val="18"/>
        </w:rPr>
        <w:t xml:space="preserve">Heilverfahrensverordnung</w:t>
      </w:r>
    </w:p>
    <w:p>
      <w:r>
        <w:rPr>
          <w:color w:val="555555"/>
          <w:sz w:val="18"/>
        </w:rPr>
        <w:t xml:space="preserve">Historische Fassung: Stand 10.06.2019 bis 14.11.2020. Dies ist nicht die aktuelle Fassung.</w:t>
      </w:r>
    </w:p>
    <w:p>
      <w:r>
        <w:t xml:space="preserve">(1) Der Verletzte hat der Dienstbehörde den Beginn einer Krankenhausbehandlung unverzüglich anzuzeigen. Hat diese auf Grund eines ärztlichen Gutachtens (§ 3 Abs. 4) entschieden, daß Krankenhausbehandlung nicht notwendig ist, werden die Kosten hierfür nur bis zum Ablauf des auf den Tag der Zustellung der Entscheidung folgenden Tages erstattet.</w:t>
      </w:r>
    </w:p>
    <w:p>
      <w:r>
        <w:t xml:space="preserve">(2) Als Krankenhausbehandlung im Sinne dieser Verordnung gilt die stationäre Behandlung oder Beobachtung in öffentlichen und freien gemeinnützigen Krankenhäusern sowie in privaten Krankenhäusern, die nach § 30 der Gewerbeordnung konzessioniert sind. Ein Aufenthalt in einem Kurkrankenhaus oder in einem Sanatorium gilt nicht als Krankenhausbehandlung im Sinne des Satzes 1.</w:t>
      </w:r>
    </w:p>
    <w:p>
      <w:r>
        <w:t xml:space="preserve">(3) Bei Behandlung in Krankenhäusern, in denen die erbrachten Leistungen nach den Grundsätzen der Bundespflegesatzverordnung vom 25. April 1973 (BGBl. I S. 333) in der jeweils geltenden Fassung berechnet werden, sind die Kosten für die allgemeinen Krankenhausleistungen, die gesondert berechenbaren Nebenleistungen, eine gesondert berechenbare Unterkunft in einem Zweibettzimmer und für gesondert berechenbare ärztliche Leistungen angemessen. Machen besondere dienstliche Gründe im Einzelfall die Inanspruchnahme der gesondert berechenbaren Unterkunft in einem Einbettzimmer oder sonstiger gesondert berechenbarer Leistungen erforderlich, gelten auch die Kosten hierfür als angemessen; Absatz 1 Satz 1 gilt sinngemäß.</w:t>
      </w:r>
    </w:p>
    <w:p>
      <w:r>
        <w:t xml:space="preserve">(4) Bei Behandlung in einem Krankenhaus, in dem die erbrachten Leistungen nicht nach den Grundsätzen der Bundespflegesatzverordnung berechnet werden, sind die Kosten bis zu dem Betrage zu erstatten, der nach Absatz 3 zu erstatten wäre, wenn der Verletzte in das diesem Krankenhaus nächstgelegene Krankenhaus im Sinne des Absatzes 3 aufgenommen worden wäre. Weitergehende Kosten werden erstattet, soweit sie unvermeidbar waren.</w:t>
      </w:r>
    </w:p>
    <w:p>
      <w:r>
        <w:t xml:space="preserve">(5) Ergibt sich die Notwendigkeit einer Krankenhausbehandlung während eines dienstlich angeordneten Aufenthalts an einem Ort außerhalb des Geltungsbereichs des Beamtenversorgungsgesetzes, ist über die Erstattung der Kosten für diese Behandlung unabhängig von den Vorschriften der Absätze 2 bis 4 zu entscheiden. Im übrigen sind Kosten für eine Krankenhausbehandlung an einem Ort außerhalb des Geltungsbereichs des Beamtenversorgungsgesetzes nur bis zu dem Betrage zu erstatten, der nach Absatz 3 zu erstatten wäre, wenn der Verletzte in ein Krankenhaus im Sinne des Absatzes 3 am dienstlichen Wohnsitz aufgenommen worden wäre. Absatz 4 Satz 2 gilt entsprechend.</w:t>
      </w:r>
    </w:p>
    <w:p>
      <w:r>
        <w:rPr>
          <w:color w:val="555555"/>
          <w:sz w:val="17"/>
        </w:rPr>
        <w:t xml:space="preserve">Zitiervorschlag: § 4 HeilvfV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https://recht.nulegal.eu/gesetze/heilvfv--1979/4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