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HeilvfV</w:t>
      </w:r>
    </w:p>
    <w:p>
      <w:r>
        <w:rPr>
          <w:color w:val="555555"/>
          <w:sz w:val="18"/>
        </w:rPr>
        <w:t xml:space="preserve">Heilverfahrensverordnung</w:t>
      </w:r>
    </w:p>
    <w:p>
      <w:r>
        <w:rPr>
          <w:color w:val="555555"/>
          <w:sz w:val="18"/>
        </w:rPr>
        <w:t xml:space="preserve">Historische Fassung: Stand 10.06.2019 bis 14.11.2020. Dies ist nicht die aktuelle Fassung.</w:t>
      </w:r>
    </w:p>
    <w:p>
      <w:r>
        <w:t xml:space="preserve">(1) Kosten werden erstattet für</w:t>
      </w:r>
    </w:p>
    <w:p>
      <w:pPr>
        <w:ind w:left="420"/>
      </w:pPr>
      <w:r>
        <w:t xml:space="preserve">a) Untersuchung, Beratung, Verrichtung, Behandlung, Beobachtung, Begutachtung und andere Maßnahmen der Heilbehandlung, die vom Arzt oder Zahnarzt vorgenommen oder schriftlich angeordnet sind,</w:t>
      </w:r>
    </w:p>
    <w:p>
      <w:pPr>
        <w:ind w:left="420"/>
      </w:pPr>
      <w:r>
        <w:t xml:space="preserve">b) die bei den Maßnahmen nach Buchstabe a verbrauchten und die auf schriftliche ärztliche oder zahnärztliche Verordnung beschafften Arznei- und anderen Heilmittel, Stärkungsmittel, Verbandmittel, Artikel zur Krankenpflege und ähnliche Mittel der Heilbehandlung,</w:t>
      </w:r>
    </w:p>
    <w:p>
      <w:pPr>
        <w:ind w:left="420"/>
      </w:pPr>
      <w:r>
        <w:t xml:space="preserve">c) die vom Arzt oder Zahnarzt schriftlich verordnete besondere Kost, soweit sie die Aufwendungen für Normalkost übersteigen.</w:t>
      </w:r>
    </w:p>
    <w:p>
      <w:r>
        <w:t xml:space="preserve">(2) Kosten nach Absatz 1 für die Inanspruchnahme von Personen, die nach § 19 des Gesetzes über die Ausübung der Zahnheilkunde in der im Bundesgesetzblatt Teil III, Gliederungsnummer 2123-1, veröffentlichten bereinigten Fassung, zuletzt geändert durch § 2 der Verordnung vom 27. September 1977 (BGBl. I S. 1869), zur Ausübung der Zahnheilkunde berechtigt sind, oder von Personen, die nach dem Heilpraktikergesetz in der im Bundesgesetzblatt Teil III, Gliederungsnummer 2122-2, veröffentlichten bereinigten Fassung, geändert durch Artikel 53 des Gesetzes vom 2. März 1974 (BGBl. I S. 469), zur Ausübung der Heilkunde berechtigt sind, sind zu erstatten.</w:t>
      </w:r>
    </w:p>
    <w:p>
      <w:r>
        <w:t xml:space="preserve">(3) Die Kosten für eine Untersuchung, Beobachtung und Begutachtung im unmittelbaren Anschluß an den Dienstunfall werden auch dann erstattet, wenn diese Maßnahmen nur der Feststellung dienten, ob Unfallfolgen eingetreten sind.</w:t>
      </w:r>
    </w:p>
    <w:p>
      <w:r>
        <w:t xml:space="preserve">(4) Die Dienstbehörde kann bei Zweifel über die Notwendigkeit einer Maßnahme im Sinne des Absatzes 1 das Gutachten eines der in § 15 bezeichneten Ärzte einholen.</w:t>
      </w:r>
    </w:p>
    <w:p>
      <w:r>
        <w:rPr>
          <w:color w:val="555555"/>
          <w:sz w:val="17"/>
        </w:rPr>
        <w:t xml:space="preserve">Zitiervorschlag: § 3 HeilvfV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https://recht.nulegal.eu/gesetze/heilvfv--1979/3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