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HeilvfV</w:t>
      </w:r>
    </w:p>
    <w:p>
      <w:r>
        <w:rPr>
          <w:color w:val="555555"/>
          <w:sz w:val="18"/>
        </w:rPr>
        <w:t xml:space="preserve">Heilverfahrensverordnung</w:t>
      </w:r>
    </w:p>
    <w:p>
      <w:r>
        <w:rPr>
          <w:color w:val="555555"/>
          <w:sz w:val="18"/>
        </w:rPr>
        <w:t xml:space="preserve">Historische Fassung: Stand 10.06.2019 bis 14.11.2020. Dies ist nicht die aktuelle Fassung.</w:t>
      </w:r>
    </w:p>
    <w:p>
      <w:r>
        <w:t xml:space="preserve">Der Verletzte ist verpflichtet, sich nach Weisung der Dienstbehörde ärztlich untersuchen und, wenn einer der in § 15 bezeichneten Ärzte dies für erforderlich hält, auch beobachten zu lassen.</w:t>
      </w:r>
    </w:p>
    <w:p>
      <w:r>
        <w:rPr>
          <w:color w:val="555555"/>
          <w:sz w:val="17"/>
        </w:rPr>
        <w:t xml:space="preserve">Zitiervorschlag: § 2 HeilvfV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https://recht.nulegal.eu/gesetze/heilvfv--1979/2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