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GVIDVDV</w:t>
      </w:r>
    </w:p>
    <w:p>
      <w:r>
        <w:rPr>
          <w:color w:val="555555"/>
          <w:sz w:val="18"/>
        </w:rPr>
        <w:t xml:space="preserve">Verordnung über den Vorbereitungsdienst für den gehobenen Verwaltungsinformatikdienst des Bundes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Auf Grund des § 26 Absatz 1 Nummer 2 des Bundesbeamtengesetzes vom 5. Februar 2009 (BGBl. I S. 160) in Verbindung mit § 10 der Bundeslaufbahnverordnung vom 12. Februar 2009 (BGBl. I S. 284) verordnet das Bundesministerium des Innern:</w:t>
      </w:r>
    </w:p>
    <w:p>
      <w:r>
        <w:rPr>
          <w:color w:val="555555"/>
          <w:sz w:val="17"/>
        </w:rPr>
        <w:t xml:space="preserve">Zitiervorschlag: Eingangsformel GVIDVDV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https://recht.nulegal.eu/gesetze/gvidvdv--2012/eingangsformel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