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GVIDVDV — Urlaub</w:t>
      </w:r>
    </w:p>
    <w:p>
      <w:r>
        <w:rPr>
          <w:color w:val="555555"/>
          <w:sz w:val="18"/>
        </w:rPr>
        <w:t xml:space="preserve">Verordnung über den Vorbereitungsdienst für den gehobenen Verwaltungsinformatikdienst des Bundes</w:t>
      </w:r>
    </w:p>
    <w:p>
      <w:r>
        <w:rPr>
          <w:color w:val="555555"/>
          <w:sz w:val="18"/>
        </w:rPr>
        <w:t xml:space="preserve">Historische Fassung: Stand 24.08.2021 bis 13.04.2025. Dies ist nicht die aktuelle Fassung.</w:t>
      </w:r>
    </w:p>
    <w:p>
      <w:r>
        <w:t xml:space="preserve">Die Zeiten des Erholungsurlaubs bestimmt während der Fachstudien die Hochschule und während der berufspraktischen Studien (Praktika) die Einstellungsbehörde.</w:t>
      </w:r>
    </w:p>
    <w:p>
      <w:r>
        <w:rPr>
          <w:color w:val="555555"/>
          <w:sz w:val="17"/>
        </w:rPr>
        <w:t xml:space="preserve">Zitiervorschlag: § 6 GVIDVDV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https://recht.nulegal.eu/gesetze/gvidvdv--2012/6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