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GVIDVDV — Inkrafttreten</w:t>
      </w:r>
    </w:p>
    <w:p>
      <w:r>
        <w:rPr>
          <w:color w:val="555555"/>
          <w:sz w:val="18"/>
        </w:rPr>
        <w:t xml:space="preserve">Verordnung über den Vorbereitungsdienst für den gehobenen Verwaltungsinformatikdienst des Bundes</w:t>
      </w:r>
    </w:p>
    <w:p>
      <w:r>
        <w:rPr>
          <w:color w:val="555555"/>
          <w:sz w:val="18"/>
        </w:rPr>
        <w:t xml:space="preserve">Historische Fassung: Stand 10.06.2019 bis 13.04.2025. Dies ist nicht die aktuelle Fassung.</w:t>
      </w:r>
    </w:p>
    <w:p>
      <w:r>
        <w:t xml:space="preserve">Diese Verordnung tritt mit Wirkung vom 1. August 2012 in Kraft.</w:t>
      </w:r>
    </w:p>
    <w:p>
      <w:r>
        <w:rPr>
          <w:color w:val="555555"/>
          <w:sz w:val="17"/>
        </w:rPr>
        <w:t xml:space="preserve">Zitiervorschlag: § 27 GVIDVDV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https://recht.nulegal.eu/gesetze/gvidvdv--2012/27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