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GStDVDV — Ausbildungsakte</w:t>
      </w:r>
    </w:p>
    <w:p>
      <w:r>
        <w:rPr>
          <w:color w:val="555555"/>
          <w:sz w:val="18"/>
        </w:rPr>
        <w:t xml:space="preserve">Verordnung über den Vorbereitungsdienst für den gehobenen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Das Bundeszentralamt für Steuern führt für jede Anwärterin und jeden Anwärter eine Ausbildungsakte.</w:t>
      </w:r>
    </w:p>
    <w:p>
      <w:r>
        <w:t xml:space="preserve">(2) Die Betroffenen können auf Antrag Einsicht in ihre Ausbildungsakte nehmen. Die Einsichtnahme ist in der Ausbildungsakte zu vermerken.</w:t>
      </w:r>
    </w:p>
    <w:p>
      <w:r>
        <w:t xml:space="preserve">(3) Nach Beendigung des Vorbereitungsdienstes wird die Ausbildungsakte fünf Jahre aufbewahrt und sodann vernichtet.</w:t>
      </w:r>
    </w:p>
    <w:p>
      <w:r>
        <w:rPr>
          <w:color w:val="555555"/>
          <w:sz w:val="17"/>
        </w:rPr>
        <w:t xml:space="preserve">Zitiervorschlag: § 14 GStDVDV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https://recht.nulegal.eu/gesetze/gstdvdv--2017/14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