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GrÄndStVtr SN/TH 2</w:t>
      </w:r>
    </w:p>
    <w:p>
      <w:r>
        <w:rPr>
          <w:color w:val="555555"/>
          <w:sz w:val="18"/>
        </w:rPr>
        <w:t xml:space="preserve">Zweiter Staatsvertrag zwischen dem Freistaat Sachsen und dem Freistaat Thüringen über die Änderung der gemeinsamen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Dieser Vertrag bedarf der Ratifikation. Die Ratifikationsurkunden werden ausgetauscht, sobald der Sächsische Landtag und der Thüringer Landtag diesem Vertrag durch Gesetz zugestimmt haben.</w:t>
      </w:r>
    </w:p>
    <w:p>
      <w:r>
        <w:t xml:space="preserve">(2) Die Ratifikationsurkunden und Urschriften dieses Vertrages werden im Staatsarchiv Dresden und im Thüringischen Hauptstaatsarchiv in Weimar hinterlegt.</w:t>
      </w:r>
    </w:p>
    <w:p>
      <w:r>
        <w:t xml:space="preserve">(3) Der Staatsvertrag tritt am Tage nach dem Austausch der Ratifikationsurkunden in Kraft.</w:t>
      </w:r>
    </w:p>
    <w:p>
      <w:r>
        <w:rPr>
          <w:color w:val="555555"/>
          <w:sz w:val="17"/>
        </w:rPr>
        <w:t xml:space="preserve">Zitiervorschlag: Art 9 GrÄndStVtr SN/TH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https://recht.nulegal.eu/gesetze/gr_ndstvtr_sn_th_2/9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