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GrÄndStVtr SN/TH 2</w:t>
      </w:r>
    </w:p>
    <w:p>
      <w:r>
        <w:rPr>
          <w:color w:val="555555"/>
          <w:sz w:val="18"/>
        </w:rPr>
        <w:t xml:space="preserve">Zweiter Staatsvertrag zwischen dem Freistaat Sachsen und dem Freistaat Thüringen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Anlage ist Bestandteil des Vertrages. Ausfertigungen der Anlage (Artikel 1 Abs. 3) werden bei dem Landesvermessungsamt Sachsen, bei dem Thüringer Landesverwaltungsamt und bei den Landratsämtern Greiz und Plauen aufbewahrt und können von jedermann eingesehen werden.</w:t>
      </w:r>
    </w:p>
    <w:p>
      <w:r>
        <w:rPr>
          <w:color w:val="555555"/>
          <w:sz w:val="17"/>
        </w:rPr>
        <w:t xml:space="preserve">Zitiervorschlag: Art 8 GrÄndStVtr SN/TH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https://recht.nulegal.eu/gesetze/gr_ndstvtr_sn_th_2/8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