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GrÄndStVtr SN/TH</w:t>
      </w:r>
    </w:p>
    <w:p>
      <w:r>
        <w:rPr>
          <w:color w:val="555555"/>
          <w:sz w:val="18"/>
        </w:rPr>
        <w:t xml:space="preserve">Staatsvertrag zwischen dem Freistaat Sachsen und dem Land Thüringen über die Änderung der gemeinsamen Landesgrenze</w:t>
      </w:r>
    </w:p>
    <w:p>
      <w:r>
        <w:rPr>
          <w:color w:val="555555"/>
          <w:sz w:val="18"/>
        </w:rPr>
        <w:t xml:space="preserve">Stand: 10.06.2019 (konsolidierte Textfassung, kein amtliches Inkrafttretensdatum)</w:t>
      </w:r>
    </w:p>
    <w:p>
      <w:r>
        <w:t xml:space="preserve">Die betroffenen Gemeinden und Landkreise sind verpflichtet, möglichst innerhalb von sechs Monaten nach dem Wechsel der Landeszugehörigkeit der in Artikel 1 Abs. 1 genannten Gemeinden die mit dem Übergang zusammenhängenden Fragen der Verwaltung wie die Übergabe von Akten, Urkunden, Registern und dergleichen durch Vereinbarung zu regeln sowie die für die Berichtigung des Grundbuchs erforderlichen Erklärungen abzugeben. Die Vereinbarungen bedürfen der Genehmigung der jeweils zuständigen Rechtsaufsichtsbehörde. Die Verpflichtung nach Satz 1 trifft auch sämtliche Landesbehörden einschließlich der Gerichte.</w:t>
      </w:r>
    </w:p>
    <w:p>
      <w:r>
        <w:rPr>
          <w:color w:val="555555"/>
          <w:sz w:val="17"/>
        </w:rPr>
        <w:t xml:space="preserve">Zitiervorschlag: Art 4 GrÄndStVtr SN/TH</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https://recht.nulegal.eu/gesetze/gr_ndstvtr_sn_th/4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