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GrÄndStVtr MV/ND</w:t>
      </w:r>
    </w:p>
    <w:p>
      <w:r>
        <w:rPr>
          <w:color w:val="555555"/>
          <w:sz w:val="18"/>
        </w:rPr>
        <w:t xml:space="preserve">Staatsvertrag zwischen den Ländern Mecklenburg-Vorpommern und Niedersachsen über die Umgliederung der Gemeinden im ehemaligen Amt Neuhaus und anderer Gebiete nach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Verwaltungsvermögen der Körperschaften des öffentlichen Rechts im Umgliederungsgebiet geht mit allen Rechten, Lasten und Verpflichtungen auf die in Niedersachsen zuständigen Körperschaften über. Von dem Vermögensübergang sind die in § 4 Satz 2 des Gesetzes über das Verfahren bei sonstigen Änderungen des Gebietsbestandes der Länder nach Artikel 29 Abs. 7 des Grundgesetzes vom 30. Juli 1979 (BGBl. I S. 1325) genannten Körperschaften ausgenommen. Die gegen Entschädigung übergehenden Teile des Verwaltungsvermögens und die Höhe der Entschädigung werden in einer Protokollnotiz zu diesem Vertrag näher bezeichnet.</w:t>
      </w:r>
    </w:p>
    <w:p>
      <w:r>
        <w:rPr>
          <w:color w:val="555555"/>
          <w:sz w:val="17"/>
        </w:rPr>
        <w:t xml:space="preserve">Zitiervorschlag: Art 3 GrÄndStVtr MV/ND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https://recht.nulegal.eu/gesetze/gr_ndstvtr_mv_nd/3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