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GrÄndStVtr MV/ND</w:t>
      </w:r>
    </w:p>
    <w:p>
      <w:r>
        <w:rPr>
          <w:color w:val="555555"/>
          <w:sz w:val="18"/>
        </w:rPr>
        <w:t xml:space="preserve">Staatsvertrag zwischen den Ländern Mecklenburg-Vorpommern und Niedersachsen über die Umgliederung der Gemeinden im ehemaligen Amt Neuhaus und anderer Gebiete nach Niedersachsen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Land Niedersachsen verpflichtet sich, in Arbeitsverhältnisse von Angestellten und Arbeitern einzutreten, die zum Zeitpunkt des Inkrafttretens des Staatsvertrages im Umgliederungsgebiet im öffentlichen Dienst des Landes Mecklenburg-Vorpommern bestehen. Für die Übernahme der Bediensteten aus dem öffentlichen Dienst des Landes Mecklenburg-Vorpommern gelten folgende Höchstgrenzen:</w:t>
      </w:r>
    </w:p>
    <w:p>
      <w:r>
        <w:rPr>
          <w:rFonts w:ascii="Courier New" w:hAnsi="Courier New"/>
          <w:sz w:val="17"/>
        </w:rPr>
        <w:t xml:space="preserve">- 41 Lehrkräfte der allgemeinbildenden Schulen,</w:t>
      </w:r>
    </w:p>
    <w:p>
      <w:r>
        <w:rPr>
          <w:rFonts w:ascii="Courier New" w:hAnsi="Courier New"/>
          <w:sz w:val="17"/>
        </w:rPr>
        <w:t xml:space="preserve">- 6 Bedienstete der Wasserwirtschaftsverwaltung,</w:t>
      </w:r>
    </w:p>
    <w:p>
      <w:r>
        <w:rPr>
          <w:rFonts w:ascii="Courier New" w:hAnsi="Courier New"/>
          <w:sz w:val="17"/>
        </w:rPr>
        <w:t xml:space="preserve">- 2 Bedienstete der Naturschutzverwaltung,</w:t>
      </w:r>
    </w:p>
    <w:p>
      <w:r>
        <w:rPr>
          <w:rFonts w:ascii="Courier New" w:hAnsi="Courier New"/>
          <w:sz w:val="17"/>
        </w:rPr>
        <w:t xml:space="preserve">- 15 Bedienstete der Straßenbauverwaltung,</w:t>
      </w:r>
    </w:p>
    <w:p>
      <w:r>
        <w:rPr>
          <w:rFonts w:ascii="Courier New" w:hAnsi="Courier New"/>
          <w:sz w:val="17"/>
        </w:rPr>
        <w:t xml:space="preserve">- 39 Bedienstete der Forstverwaltung.</w:t>
      </w:r>
    </w:p>
    <w:p>
      <w:r>
        <w:t xml:space="preserve">(2) Die Landkreise Hagenow und Lüneburg sind aufgefordert, eine Vereinbarung nach Absatz 1 Satz 1 über den Eintritt in bestehende Arbeitsverhältnisse der Bediensteten des Landkreises Hagenow zu schließen.</w:t>
      </w:r>
    </w:p>
    <w:p>
      <w:r>
        <w:rPr>
          <w:color w:val="555555"/>
          <w:sz w:val="17"/>
        </w:rPr>
        <w:t xml:space="preserve">Zitiervorschlag: Art 2 GrÄndStVtr MV/ND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https://recht.nulegal.eu/gesetze/gr_ndstvtr_mv_nd/2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