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GrÄndStVtr MV/ND</w:t>
      </w:r>
    </w:p>
    <w:p>
      <w:r>
        <w:rPr>
          <w:color w:val="555555"/>
          <w:sz w:val="18"/>
        </w:rPr>
        <w:t xml:space="preserve">Staatsvertrag zwischen den Ländern Mecklenburg-Vorpommern und Niedersachsen über die Umgliederung der Gemeinden im ehemaligen Amt Neuhaus und anderer Gebiete nach Niedersachsen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Staatsvertrag bedarf der Ratifikation. Die Ratifikationsurkunden werden ausgetauscht.</w:t>
      </w:r>
    </w:p>
    <w:p>
      <w:r>
        <w:t xml:space="preserve">(2) Der Staatsvertrag tritt am ersten Tag nach Austausch der Ratifikationsurkunden in Kraft.</w:t>
      </w:r>
    </w:p>
    <w:p>
      <w:r>
        <w:rPr>
          <w:color w:val="555555"/>
          <w:sz w:val="17"/>
        </w:rPr>
        <w:t xml:space="preserve">Zitiervorschlag: Art 11 GrÄndStVtr MV/ND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https://recht.nulegal.eu/gesetze/gr_ndstvtr_mv_nd/11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