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GrÄndStVtr HE/ND</w:t>
      </w:r>
    </w:p>
    <w:p>
      <w:r>
        <w:rPr>
          <w:color w:val="555555"/>
          <w:sz w:val="18"/>
        </w:rPr>
        <w:t xml:space="preserve">Staatsvertrag zwischen dem Land Hessen und dem Land Niedersachsen über die Änderung der gemeinsamen Landesgrenze (Anlage zur Bekanntmachung über den Abschluss und das Inkrafttreten des Staatsvertrages zwischen dem Land Hessen und dem Land Niedersachsen über die Änderung der gemeinsamen Landesgrenze)</w:t>
      </w:r>
    </w:p>
    <w:p>
      <w:r>
        <w:rPr>
          <w:color w:val="555555"/>
          <w:sz w:val="18"/>
        </w:rPr>
        <w:t xml:space="preserve">Stand: 10.06.2019 (konsolidierte Textfassung, kein amtliches Inkrafttretensdatum)</w:t>
      </w:r>
    </w:p>
    <w:p>
      <w:r>
        <w:t xml:space="preserve">(1) Dieser Staatsvertrag ändert die gemeinsame Landesgrenze zwischen dem Land Hessen und dem Land Niedersachsen – im Folgenden: Länder – durch Austausch der in der Anlage 1 bezeichneten Flächen. Die Änderungen sind in dem als Anlage 2 beigefügten Kartenblatt grafisch dargestellt. Die Anlagen sind Bestandteile des Staatsvertrages.</w:t>
      </w:r>
    </w:p>
    <w:p>
      <w:r>
        <w:t xml:space="preserve">(2) In das Hoheitsgebiet des Landes Hessen gehen über die in Anlage 1 aufgeführten Flächen in der Gemarkung Escherode. In das Hoheitsgebiet des Landes Niedersachsen gehen über die in Anlage 1 aufgeführten Flächen in der Gemarkung Nieste. Die getauschten Flächen haben jeweils eine Größe von 144 772 m².</w:t>
      </w:r>
    </w:p>
    <w:p>
      <w:r>
        <w:rPr>
          <w:color w:val="555555"/>
          <w:sz w:val="17"/>
        </w:rPr>
        <w:t xml:space="preserve">Zitiervorschlag: Art 1 GrÄndStVtr HE/ND</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https://recht.nulegal.eu/gesetze/gr_ndstvtr_he_nd/1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