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GrÄndStVtr BW/HE</w:t>
      </w:r>
    </w:p>
    <w:p>
      <w:r>
        <w:rPr>
          <w:color w:val="555555"/>
          <w:sz w:val="18"/>
        </w:rPr>
        <w:t xml:space="preserve">Staatsvertrag zwischen dem Land Baden-Württemberg und dem Land Hessen über eine Änderung der Landesgrenze (Anlage zur Bekanntmachung über den Abschluß und das Inkrafttreten des Staatsvertrages zwischen dem Land Baden-Württemberg und dem Land Hessen über eine Änderung der Landesgrenze)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Folgende in dem abgetretenen Gebiet belegenen Gegenstände des Verwaltungsvermögens gehen entschädigungslos über: Die Flurstücke 4373/6 und 4373/7 (Landesstraße 3110) vom Land Baden-Württemberg auf das Land Hessen, das Flurstück 4510 (Landgraben) von der Stadt Hemsbach auf die Stadt Lampertheim.</w:t>
      </w:r>
    </w:p>
    <w:p>
      <w:r>
        <w:t xml:space="preserve">(2) Die von der Abtretung betroffenen Städte werden ermächtigt, für den Steuerkraftverlust der Stadt Hemsbach eine Ausgleichszahlung zu vereinbaren.</w:t>
      </w:r>
    </w:p>
    <w:p>
      <w:r>
        <w:t xml:space="preserve">(3) Im übrigen regeln die von der Abtretung betroffenen Landkreise und Städte Rechtsfolgen der Änderung ihrer Gebiete und die Auseinandersetzung durch Vereinbarung.</w:t>
      </w:r>
    </w:p>
    <w:p>
      <w:r>
        <w:t xml:space="preserve">(4) Vereinbarungen nach Absatz 2 und 3 bedürfen der Genehmigung des Regierungspräsidiums Karlsruhe und des Regierungspräsidenten in Darmstadt als der zuständigen Kommunalaufsichtsbehörden.</w:t>
      </w:r>
    </w:p>
    <w:p>
      <w:r>
        <w:rPr>
          <w:color w:val="555555"/>
          <w:sz w:val="17"/>
        </w:rPr>
        <w:t xml:space="preserve">Zitiervorschlag: Art 2 GrÄndStVtr BW/HE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https://recht.nulegal.eu/gesetze/gr_ndstvtr_bw_he/2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