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GrÄndStVtr BW/BY 3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Zwischen der Gemeinde Bächingen a.d. Brenz, Landkreis Dillingen a.d. Donau, Freistaat Bayern, und der Gemeinde Sontheim an der Brenz, Landkreis Heidenheim, Land Baden-Württemberg, verläuft die neue Landesgrenze</w:t>
      </w:r>
    </w:p>
    <w:p>
      <w:pPr>
        <w:ind w:left="420"/>
      </w:pPr>
      <w:r>
        <w:t xml:space="preserve">1. vom Landesgrenzpunkt 372 bis zum Landesgrenzpunkt 376/1 nach Maßgabe der Anlage 21, Seiten 1 und 2;</w:t>
      </w:r>
    </w:p>
    <w:p>
      <w:pPr>
        <w:ind w:left="420"/>
      </w:pPr>
      <w:r>
        <w:t xml:space="preserve">2. vom Landesgrenzpunkt 377 bis zum Landesgrenzpunkt 383 nach Maßgabe der Anlage 21, Seiten 1 und 2.</w:t>
      </w:r>
    </w:p>
    <w:p>
      <w:r>
        <w:rPr>
          <w:color w:val="555555"/>
          <w:sz w:val="17"/>
        </w:rPr>
        <w:t xml:space="preserve">Zitiervorschlag: Art 21 GrÄndStVtr BW/BY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https://recht.nulegal.eu/gesetze/gr_ndstvtr_bw_by_3/21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