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GrÄndStVtr BW/BY 2</w:t>
      </w:r>
    </w:p>
    <w:p>
      <w:r>
        <w:rPr>
          <w:color w:val="555555"/>
          <w:sz w:val="18"/>
        </w:rPr>
        <w:t xml:space="preserve">Zweiter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Zwischen dem Markt Wallerstein, Landkreis Donau-Ries, Freistaat Bayern, und der Gemeinde Unterschneidheim, Ostalbkreis, Land Baden-Württemberg, verläuft die neue Landesgrenze vom Landesgrenzpunkt 496 bis zum Landesgrenzpunkt 499/2 nach Maßgabe der Anlage 21, Seiten 1 und 2.</w:t>
      </w:r>
    </w:p>
    <w:p>
      <w:r>
        <w:rPr>
          <w:color w:val="555555"/>
          <w:sz w:val="17"/>
        </w:rPr>
        <w:t xml:space="preserve">Zitiervorschlag: Art 21 GrÄndStVtr BW/BY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https://recht.nulegal.eu/gesetze/gr_ndstvtr_bw_by_2/21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