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(1) Die Länder und die betroffenen kommunalen Gebietskörperschaften treffen die sich infolge der Grenzänderungen als notwendig erweisenden Regelungen möglichst innerhalb von sechs Monaten nach Inkrafttreten dieses Vertrages.</w:t>
      </w:r>
    </w:p>
    <w:p>
      <w:r>
        <w:t xml:space="preserve">(2) Die Länder und die betroffenen kommunalen Gebietskörperschaften sind verpflichtet, innerhalb von sechs Monaten nach Inkrafttreten dieses Vertrages die für die Verwaltung notwendigen Akten, Urkunden, Register und andere Unterlagen zu übergeben und die für die Berichtigung des Grundbuchs erforderlichen Erklärungen abzugeben.</w:t>
      </w:r>
    </w:p>
    <w:p>
      <w:r>
        <w:t xml:space="preserve">(3) Zwischen den Ländern werden Verwaltungsgebühren und Auslagen für notwendige Amtshandlungen anlässlich der Grenzänderung nicht erhoben oder erstattet.</w:t>
      </w:r>
    </w:p>
    <w:p>
      <w:r>
        <w:t xml:space="preserve">(4) Beide Länder schaffen innerhalb von sechs Monaten nach Inkrafttreten dieses Staatsvertrages die vertraglichen Voraussetzungen für den Verkauf der in Artikel 2 Abs. 2 Satz 2 genannten Gewerbeerwartungsflächen an die Freie Hansestadt Bremen.</w:t>
      </w:r>
    </w:p>
    <w:p>
      <w:r>
        <w:rPr>
          <w:color w:val="555555"/>
          <w:sz w:val="17"/>
        </w:rPr>
        <w:t xml:space="preserve">Zitiervorschlag: Art 4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