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GrÄndStVtr BB/ST 2024</w:t>
      </w:r>
    </w:p>
    <w:p>
      <w:r>
        <w:rPr>
          <w:color w:val="555555"/>
          <w:sz w:val="18"/>
        </w:rPr>
        <w:t xml:space="preserve">Staatsvertrag zwischen dem Land Brandenburg und dem Land Sachsen-Anhalt über die Änderung der gemeinsamen Landesgrenze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Das Land Brandenburg und das Land Sachsen-Anhalt schließen auf der Grundlage des Artikels 29 Absatz 7 des Grundgesetzes und des Gesetzes über das Verfahren bei sonstigen Änderungen des Gebietsbestandes der Länder nach Artikel 29 Abs. 7 des Grundgesetzes vom 30. Juli 1979 (BGBl. I S. 1325), geändert durch Artikel 3 der Verordnung vom 19. Juni 2020 (BGBl. I S. 1328), nach Anhörung der betroffenen Gemeinden und Gemeindeverbände nachstehenden Staatsvertrag:</w:t>
      </w:r>
    </w:p>
    <w:p>
      <w:r>
        <w:rPr>
          <w:color w:val="555555"/>
          <w:sz w:val="17"/>
        </w:rPr>
        <w:t xml:space="preserve">Zitiervorschlag: Eingangsformel GrÄndStVtr BB/ST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https://recht.nulegal.eu/gesetze/gr_ndstvtr_bb_st_2024/eingangsformel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