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GrÄndStVtr BB/ST</w:t>
      </w:r>
    </w:p>
    <w:p>
      <w:r>
        <w:rPr>
          <w:color w:val="555555"/>
          <w:sz w:val="18"/>
        </w:rPr>
        <w:t xml:space="preserve">Staatsvertrag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Dieser Vertrag bedarf der Ratifikation. Die Ratifikationsurkunden werden unverzüglich ausgetauscht.</w:t>
      </w:r>
    </w:p>
    <w:p>
      <w:r>
        <w:t xml:space="preserve">(2) Dieser Vertrag tritt am Tag, der auf den Austausch der Ratifikationsurkunden folgt, in Kraft.</w:t>
      </w:r>
    </w:p>
    <w:p>
      <w:r>
        <w:rPr>
          <w:color w:val="555555"/>
          <w:sz w:val="17"/>
        </w:rPr>
        <w:t xml:space="preserve">Zitiervorschlag: Art 5 GrÄndStVtr BB/ST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https://recht.nulegal.eu/gesetze/gr_ndstvtr_bb_st/5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