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GrÄndStVtr BB/ST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Flurstücke 28/6, 28/10 und 49 der Flur 5 der Gemarkung Brandis, Gemeinde Brandis, Landkreis Herzberg, werden aus dem Land Brandenburg ausgegliedert und in das Land Sachsen-Anhalt, Landkreis Jessen, Gemeinde Holzdorf, eingegliedert.</w:t>
      </w:r>
    </w:p>
    <w:p>
      <w:r>
        <w:t xml:space="preserve">(2) Die aus der Neugliederung sich ergebenden Grenzänderungen sind in der Anlage kartographisch dargestellt. Die Anlage ist Bestandteil dieses Vertrages.</w:t>
      </w:r>
    </w:p>
    <w:p>
      <w:r>
        <w:rPr>
          <w:color w:val="555555"/>
          <w:sz w:val="17"/>
        </w:rPr>
        <w:t xml:space="preserve">Zitiervorschlag: Art 1 GrÄndStVtr BB/ST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