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GrÄndStVtr3 ND/NW</w:t>
      </w:r>
    </w:p>
    <w:p>
      <w:r>
        <w:rPr>
          <w:color w:val="555555"/>
          <w:sz w:val="18"/>
        </w:rPr>
        <w:t xml:space="preserve">Dritter Staatsvertrag zwischen den Ländern Niedersachsen und Nordrhein-Westfalen über Änderungen der gemeinsamen Landesgrenze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Um den Verlauf der gemeinsamen Landesgrenze zweckmäßig zu gestalten und ein ehemaliges Tanklager der Bundeswehr einer gewerblichen Nutzung zuzuführen, schließen die Länder Niedersachsen und Nordrhein-Westfalen - im Folgenden: Länder - nach Anhörung der betroffenen kommunalen Gebietskörperschaften aufgrund des Artikels 29 Abs. 7 des Grundgesetzes in Verbindung mit § 2 Abs. 1 des Gesetzes über das Verfahren bei sonstigen Änderungen des Gebietsbestandes der Länder nach Artikel 29 Abs. 7 des Grundgesetzes vom 30. Juli 1979 (BGBl. I S. 1325) folgenden Staatsvertrag:</w:t>
      </w:r>
    </w:p>
    <w:p>
      <w:r>
        <w:rPr>
          <w:color w:val="555555"/>
          <w:sz w:val="17"/>
        </w:rPr>
        <w:t xml:space="preserve">Zitiervorschlag: Eingangsformel GrÄndStVtr3 ND/NW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https://recht.nulegal.eu/gesetze/gr_ndstvtr3_nd_nw/eingangsformel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