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GrÄndStVtr2 ND/NW</w:t>
      </w:r>
    </w:p>
    <w:p>
      <w:r>
        <w:rPr>
          <w:color w:val="555555"/>
          <w:sz w:val="18"/>
        </w:rPr>
        <w:t xml:space="preserve">Zweiter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den Verlauf der gemeinsamen Landesgrenze zweckmäßig zu gestalten und in einigen Abschnitten an topographische Gegebenheiten anzupassen, schließen die Länder Niedersachsen und Nordrhein-Westfalen - im Folgenden: Länder - nach Anhörung der betroffenen kommunalen Gebietskörperschaften aufgrund des Artikels 29 Abs. 7 des Grundgesetzes in Verbindung mit § 2 Abs. 1 des Gesetzes über das Verfahren bei sonstigen Änderungen des Gebietsbestandes der Länder nach Artikel 29 Abs. 7 des Grundgesetzes vom 30. Juli 1979 (BGBl. I S. 1325) folgenden Staatsvertrag:</w:t>
      </w:r>
    </w:p>
    <w:p>
      <w:r>
        <w:rPr>
          <w:color w:val="555555"/>
          <w:sz w:val="17"/>
        </w:rPr>
        <w:t xml:space="preserve">Zitiervorschlag: Eingangsformel GrÄndStVtr2 ND/NW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https://recht.nulegal.eu/gesetze/gr_ndstvtr2_nd_nw/eingangsformel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