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GräbPauschV 2019/2020</w:t>
      </w:r>
    </w:p>
    <w:p>
      <w:r>
        <w:rPr>
          <w:color w:val="555555"/>
          <w:sz w:val="18"/>
        </w:rPr>
        <w:t xml:space="preserve">Gräberpauschalenverordnung 2019/2020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Auf Grund des § 10 Absatz 4 Satz 2 des Gräbergesetzes in der Fassung der Bekanntmachung vom 16. Januar 2012 (BGBl. I S. 98) verordnet das Bundesministerium für Familie, Senioren, Frauen und Jugend im Einvernehmen mit dem Bundesministerium der Finanzen:</w:t>
      </w:r>
    </w:p>
    <w:p>
      <w:r>
        <w:rPr>
          <w:color w:val="555555"/>
          <w:sz w:val="17"/>
        </w:rPr>
        <w:t xml:space="preserve">Zitiervorschlag: Eingangsformel GräbPauschV 2019/2020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https://recht.nulegal.eu/gesetze/gr_bpauschv_2019_2020/eingangsformel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GräbPauschV 2019/2020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