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GOT — Gebühren- und Rechnungsbestandteile</w:t>
      </w:r>
    </w:p>
    <w:p>
      <w:r>
        <w:rPr>
          <w:color w:val="555555"/>
          <w:sz w:val="18"/>
        </w:rPr>
        <w:t xml:space="preserve">Tierärztegebührenordnung</w:t>
      </w:r>
    </w:p>
    <w:p>
      <w:r>
        <w:rPr>
          <w:color w:val="555555"/>
          <w:sz w:val="18"/>
        </w:rPr>
        <w:t xml:space="preserve">Historische Fassung: Stand 10.06.2019 bis 22.11.2022. Dies ist nicht die aktuelle Fassung.</w:t>
      </w:r>
    </w:p>
    <w:p>
      <w:r>
        <w:t xml:space="preserve">(1) Die allgemeinen Praxiskosten und die durch die Anwendung von tierärztlichen Instrumenten und Apparaturen entstehenden Kosten werden mit den Gebühren abgegolten, soweit nicht etwas anderes bestimmt ist.</w:t>
      </w:r>
    </w:p>
    <w:p>
      <w:r>
        <w:t xml:space="preserve">(2) Neben den Gebühren für Grundleistungen, besondere Leistungen und Leistungen nach Organsystemen können die Tierärzte nur Entschädigungen, Barauslagen, Entgelte für Arzneimittel sowie für verbrauchtes oder abgegebenes Material berechnen.</w:t>
      </w:r>
    </w:p>
    <w:p>
      <w:r>
        <w:t xml:space="preserve">(3) Die Rechnung soll mindestens enthalten:</w:t>
      </w:r>
    </w:p>
    <w:p>
      <w:pPr>
        <w:ind w:left="420"/>
      </w:pPr>
      <w:r>
        <w:t xml:space="preserve">1. das Datum der Erbringung der Leistung;</w:t>
      </w:r>
    </w:p>
    <w:p>
      <w:pPr>
        <w:ind w:left="420"/>
      </w:pPr>
      <w:r>
        <w:t xml:space="preserve">2. die Tierart, für die die Leistung erbracht worden ist;</w:t>
      </w:r>
    </w:p>
    <w:p>
      <w:pPr>
        <w:ind w:left="420"/>
      </w:pPr>
      <w:r>
        <w:t xml:space="preserve">3. die Diagnose;</w:t>
      </w:r>
    </w:p>
    <w:p>
      <w:pPr>
        <w:ind w:left="420"/>
      </w:pPr>
      <w:r>
        <w:t xml:space="preserve">4. die berechnete Leistung;</w:t>
      </w:r>
    </w:p>
    <w:p>
      <w:pPr>
        <w:ind w:left="420"/>
      </w:pPr>
      <w:r>
        <w:t xml:space="preserve">5. den Rechnungsbetrag;</w:t>
      </w:r>
    </w:p>
    <w:p>
      <w:pPr>
        <w:ind w:left="420"/>
      </w:pPr>
      <w:r>
        <w:t xml:space="preserve">6. die Umsatzsteuer.</w:t>
      </w:r>
    </w:p>
    <w:p>
      <w:r>
        <w:t xml:space="preserve">Entschädigungen, Barauslagen, Entgelte für Arzneimittel und verbrauchtes oder abgegebenes Material nach Absatz 2 sowie Wegegelder sind, soweit sie nicht in den Gebührensätzen des Gebührenverzeichnisses enthalten sind, gesondert auszuweisen. Im übrigen ist die Rechnung auf Verlangen des Zahlungspflichtigen aufzugliedern.</w:t>
      </w:r>
    </w:p>
    <w:p>
      <w:r>
        <w:rPr>
          <w:color w:val="555555"/>
          <w:sz w:val="17"/>
        </w:rPr>
        <w:t xml:space="preserve">Zitiervorschlag: § 6 GOT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https://recht.nulegal.eu/gesetze/got--1999/6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