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GOT — Verbot von Doppelbewertungen</w:t>
      </w:r>
    </w:p>
    <w:p>
      <w:r>
        <w:rPr>
          <w:color w:val="555555"/>
          <w:sz w:val="18"/>
        </w:rPr>
        <w:t xml:space="preserve">Tierärztegebührenordnung</w:t>
      </w:r>
    </w:p>
    <w:p>
      <w:r>
        <w:rPr>
          <w:color w:val="555555"/>
          <w:sz w:val="18"/>
        </w:rPr>
        <w:t xml:space="preserve">Historische Fassung: Stand 10.06.2019 bis 22.11.2022. Dies ist nicht die aktuelle Fassung.</w:t>
      </w:r>
    </w:p>
    <w:p>
      <w:r>
        <w:t xml:space="preserve">Eine Gebühr darf für eine Leistung nicht berechnet werden, die nach den Leistungsansätzen des Gebührenverzeichnisses Teil einer anderen Leistung ist, wenn für letztere eine Gebühr berechnet wird.</w:t>
      </w:r>
    </w:p>
    <w:p>
      <w:r>
        <w:rPr>
          <w:color w:val="555555"/>
          <w:sz w:val="17"/>
        </w:rPr>
        <w:t xml:space="preserve">Zitiervorschlag: § 5 GOT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https://recht.nulegal.eu/gesetze/got--1999/5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