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GOT — Grundsatz</w:t>
      </w:r>
    </w:p>
    <w:p>
      <w:r>
        <w:rPr>
          <w:color w:val="555555"/>
          <w:sz w:val="18"/>
        </w:rPr>
        <w:t xml:space="preserve">Tierärztegebührenordnung</w:t>
      </w:r>
    </w:p>
    <w:p>
      <w:r>
        <w:rPr>
          <w:color w:val="555555"/>
          <w:sz w:val="18"/>
        </w:rPr>
        <w:t xml:space="preserve">Historische Fassung: Stand 10.06.2019 bis 22.11.2022. Dies ist nicht die aktuelle Fassung.</w:t>
      </w:r>
    </w:p>
    <w:p>
      <w:r>
        <w:t xml:space="preserve">(1) Den Tierärzten stehen für ihre Berufstätigkeit Vergütungen (Gebühren, Entschädigungen, Barauslagen sowie Entgelte für Arzneimittel und Verbrauchsmaterialien) nach dieser Verordnung, insbesondere nach dem in der Anlage vorgeschriebenen Gebührenverzeichnis zu. Die in der Anlage zu dieser Verordnung aufgeführten Gebührensätze entsprechen dem einfachen Satz. Eine Vereinbarung oder Forderung geringerer Gebühren ist nur unter den Voraussetzungen des § 4 Abs. 1 zulässig; § 4 Abs. 2 und 3 bleibt unberührt.</w:t>
      </w:r>
    </w:p>
    <w:p>
      <w:r>
        <w:t xml:space="preserve">(2) In den Gebührensätzen des anliegenden Gebührenverzeichnisses ist die Umsatzsteuer nicht enthalten.</w:t>
      </w:r>
    </w:p>
    <w:p>
      <w:r>
        <w:rPr>
          <w:color w:val="555555"/>
          <w:sz w:val="17"/>
        </w:rPr>
        <w:t xml:space="preserve">Zitiervorschlag: § 1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