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GntZollDVDV — Erholungsurlaub</w:t>
      </w:r>
    </w:p>
    <w:p>
      <w:r>
        <w:rPr>
          <w:color w:val="555555"/>
          <w:sz w:val="18"/>
        </w:rPr>
        <w:t xml:space="preserve">Verordnung über den Vorbereitungsdienst für den gehobenen nichttechnischen Zolldienst des Bundes</w:t>
      </w:r>
    </w:p>
    <w:p>
      <w:r>
        <w:rPr>
          <w:color w:val="555555"/>
          <w:sz w:val="18"/>
        </w:rPr>
        <w:t xml:space="preserve">Historische Fassung: Stand 10.06.2019 bis 01.12.2023. Dies ist nicht die aktuelle Fassung.</w:t>
      </w:r>
    </w:p>
    <w:p>
      <w:r>
        <w:t xml:space="preserve">Erholungsurlaub wird in der Regel während der berufspraktischen Studienzeit gewährt und auf den Vorbereitungsdienst angerechnet.</w:t>
      </w:r>
    </w:p>
    <w:p>
      <w:r>
        <w:rPr>
          <w:color w:val="555555"/>
          <w:sz w:val="17"/>
        </w:rPr>
        <w:t xml:space="preserve">Zitiervorschlag: § 9 GntZollDVDV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https://recht.nulegal.eu/gesetze/gntzolldvdv--2016/9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GntZollDVDV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