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GIGV</w:t>
      </w:r>
    </w:p>
    <w:p>
      <w:r>
        <w:rPr>
          <w:color w:val="555555"/>
          <w:sz w:val="18"/>
        </w:rPr>
        <w:t xml:space="preserve">IOP-Governance-Verordnung</w:t>
      </w:r>
    </w:p>
    <w:p>
      <w:r>
        <w:rPr>
          <w:color w:val="555555"/>
          <w:sz w:val="18"/>
        </w:rPr>
        <w:t xml:space="preserve">Historische Fassung: Stand 15.10.2021 bis 14.09.2024. Dies ist nicht die aktuelle Fassung.</w:t>
      </w:r>
    </w:p>
    <w:p>
      <w:r>
        <w:t xml:space="preserve">Auf Grund des § 394a des Fünften Buches Sozialgesetzbuch, der durch Artikel 1 Nummer 78 des Gesetzes vom 3. Juni 2021 (BGBl. I S. 1309)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GIGV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https://recht.nulegal.eu/gesetze/gigv--2021/eingangsformel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