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GIGV — Empfehlung von Standards, Profilen und Leitfäden für informationstechnische Systeme im Gesundheitswesen</w:t>
      </w:r>
    </w:p>
    <w:p>
      <w:r>
        <w:rPr>
          <w:color w:val="555555"/>
          <w:sz w:val="18"/>
        </w:rPr>
        <w:t xml:space="preserve">IOP-Governance-Verordnung</w:t>
      </w:r>
    </w:p>
    <w:p>
      <w:r>
        <w:rPr>
          <w:color w:val="555555"/>
          <w:sz w:val="18"/>
        </w:rPr>
        <w:t xml:space="preserve">Historische Fassung: Stand 15.10.2021 bis 14.09.2024. Dies ist nicht die aktuelle Fassung.</w:t>
      </w:r>
    </w:p>
    <w:p>
      <w:r>
        <w:t xml:space="preserve">(1) Die Koordinierungsstelle empfiehlt in Zusammenarbeit mit dem Expertengremium auf der Wissensplattform veröffentlichte technische, semantische und syntaktische Standards, Profile und Leitfäden für informationstechnische Systeme im Gesundheitswesen. Die Empfehlungen der Koordinierungsstelle dürfen dabei von auf Basis gesetzlich zugewiesener Aufgaben erfolgenden Festlegungen nicht abweichen.</w:t>
      </w:r>
    </w:p>
    <w:p>
      <w:r>
        <w:t xml:space="preserve">(2) Im Vorfeld der Empfehlung nach Absatz 1 wird die Koordinierungsstelle durch das Expertengremium unterstützt. Bei Empfehlungen hat die Koordinierungsstelle dem Bundesamt für Sicherheit in der Informationstechnik und der oder dem Bundesbeauftragten für den Datenschutz und die Informationsfreiheit mit einer Frist von vier Wochen Gelegenheit zur Stellungnahme zu geben. Die Koordinierungsstelle hat die Stellungnahmen in ihre Entscheidung einzubeziehen und dabei die Berücksichtigung oder Nichtberücksichtigung von Elementen der Stellungnahmen zu begründen. Die Entscheidung zur Empfehlung von Standards, Profilen und Leitfäden hat für bis jeweils zum 31. Mai eines Jahres veröffentlichte Standards bis zum 1. Juni des Folgejahres zu erfolgen.</w:t>
      </w:r>
    </w:p>
    <w:p>
      <w:r>
        <w:t xml:space="preserve">(3) Die Stellungnahmen und Empfehlungen sowie die zugehörigen Begründungen sind auf der Wissensplattform zu veröffentlichen.</w:t>
      </w:r>
    </w:p>
    <w:p>
      <w:r>
        <w:rPr>
          <w:color w:val="555555"/>
          <w:sz w:val="17"/>
        </w:rPr>
        <w:t xml:space="preserve">Zitiervorschlag: § 9 GIGV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https://recht.nulegal.eu/gesetze/gigv--2021/9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