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GIGV — IOP-Expertenkreis</w:t>
      </w:r>
    </w:p>
    <w:p>
      <w:r>
        <w:rPr>
          <w:color w:val="555555"/>
          <w:sz w:val="18"/>
        </w:rPr>
        <w:t xml:space="preserve">IOP-Governance-Verordnung</w:t>
      </w:r>
    </w:p>
    <w:p>
      <w:r>
        <w:rPr>
          <w:color w:val="555555"/>
          <w:sz w:val="18"/>
        </w:rPr>
        <w:t xml:space="preserve">Historische Fassung: Stand 15.10.2021 bis 14.09.2024. Dies ist nicht die aktuelle Fassung.</w:t>
      </w:r>
    </w:p>
    <w:p>
      <w:r>
        <w:t xml:space="preserve">(1) Der IOP-Expertenkreis ist eine listenweise Zusammenstellung von ernannten Experten, aus der Mitglieder für das Expertengremium und die Arbeitskreise nach § 6 rekrutiert werden (Expertenkreis). Zudem können die Koordinierungsstelle und das Expertengremium bedarfsbezogen Mitglieder des Expertenkreises zur Erfüllung ihrer jeweiligen Aufgaben heranziehen.</w:t>
      </w:r>
    </w:p>
    <w:p>
      <w:r>
        <w:t xml:space="preserve">(2) Das Expertengremium ernennt im Einvernehmen mit der Koordinierungsstelle Personen, die über Fachwissen in Form von mindestens 5-jähriger Berufserfahrung in Vollzeitbeschäftigung in den Bereichen Gesundheitsversorgung sowie Informationstechnik und Standardisierung im Gesundheitswesen verfügen (Experten), für den IOP-Expertenkreis.</w:t>
      </w:r>
    </w:p>
    <w:p>
      <w:r>
        <w:t xml:space="preserve">(3) Die Experten können sich um die Ernennung und Aufnahme in den IOP-Expertenkreis ab dem 1. Januar 2022 über die Wissensplattform bei der Koordinierungsstelle bewerben, die die Weiterleitung an das Expertengremium vornimmt.</w:t>
      </w:r>
    </w:p>
    <w:p>
      <w:r>
        <w:t xml:space="preserve">(4) Der IOP-Expertenkreis setzt sich aus Vertretern folgender Gruppen zusammen:</w:t>
      </w:r>
    </w:p>
    <w:p>
      <w:pPr>
        <w:ind w:left="420"/>
      </w:pPr>
      <w:r>
        <w:t xml:space="preserve">1. Anwender informationstechnischer Systeme, insbesondere die gematik GmbH und die Kassenärztlichen Bundesvereinigungen,</w:t>
      </w:r>
    </w:p>
    <w:p>
      <w:pPr>
        <w:ind w:left="420"/>
      </w:pPr>
      <w:r>
        <w:t xml:space="preserve">2. für die Wahrnehmung der Interessen der Industrie maßgebliche Bundesverbände aus dem Bereich innovativer Technologien im Gesundheitswesen,</w:t>
      </w:r>
    </w:p>
    <w:p>
      <w:pPr>
        <w:ind w:left="420"/>
      </w:pPr>
      <w:r>
        <w:t xml:space="preserve">3. Bundesländer,</w:t>
      </w:r>
    </w:p>
    <w:p>
      <w:pPr>
        <w:ind w:left="420"/>
      </w:pPr>
      <w:r>
        <w:t xml:space="preserve">4. fachlich betroffene nationale und internationale Standardisierungs- und Normungsorganisationen,</w:t>
      </w:r>
    </w:p>
    <w:p>
      <w:pPr>
        <w:ind w:left="420"/>
      </w:pPr>
      <w:r>
        <w:t xml:space="preserve">5. Verbände, insbesondere der Spitzenverband Bund der Krankenkassen,</w:t>
      </w:r>
    </w:p>
    <w:p>
      <w:pPr>
        <w:ind w:left="420"/>
      </w:pPr>
      <w:r>
        <w:t xml:space="preserve">6. fachlich betroffene Fachgesellschaften des Gesundheitswesens sowie</w:t>
      </w:r>
    </w:p>
    <w:p>
      <w:pPr>
        <w:ind w:left="420"/>
      </w:pPr>
      <w:r>
        <w:t xml:space="preserve">7. wissenschaftliche Einrichtungen und Patientenorganisationen.</w:t>
      </w:r>
    </w:p>
    <w:p>
      <w:r>
        <w:t xml:space="preserve">(5) Die Experten werden für die Dauer von sechs Jahren in den IOP-Expertenkreis aufgenommen. Will ein Mitglied dem IOP-Expertenkreis nicht mehr angehören, erklärt es sein Ausscheiden schriftlich gegenüber der Koordinierungsstelle. Eine Wiederaufnahme ist möglich.</w:t>
      </w:r>
    </w:p>
    <w:p>
      <w:r>
        <w:t xml:space="preserve">(6) Die Festlegung der einzureichenden Nachweise zur Prüfung der Voraussetzungen für die Aufnahme in den IOP-Expertenkreis erfolgt in der Geschäfts- und Verfahrensordnung. Eine unmittelbare Übernahme des Expertenstatus nach § 386 des Fünften Buches Sozialgesetzbuch ist ausgeschlossen.</w:t>
      </w:r>
    </w:p>
    <w:p>
      <w:r>
        <w:t xml:space="preserve">(7) Die Koordinierungsstelle veröffentlicht eine Liste der für den IOP-Expertenkreis benannten Experten auf der Wissensplattform. Das Einverständnis zur Veröffentlichung des Namens sowie der Institution des Bewerbers ist Voraussetzung zur Einreichung der einzureichenden Nachweise nach Absatz 6.</w:t>
      </w:r>
    </w:p>
    <w:p>
      <w:r>
        <w:rPr>
          <w:color w:val="555555"/>
          <w:sz w:val="17"/>
        </w:rPr>
        <w:t xml:space="preserve">Zitiervorschlag: § 5 GIGV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https://recht.nulegal.eu/gesetze/gigv--2021/5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