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GIGV — Koordinierungsstelle für Interoperabilität im Gesundheitswesen</w:t>
      </w:r>
    </w:p>
    <w:p>
      <w:r>
        <w:rPr>
          <w:color w:val="555555"/>
          <w:sz w:val="18"/>
        </w:rPr>
        <w:t xml:space="preserve">IOP-Governance-Verordnung</w:t>
      </w:r>
    </w:p>
    <w:p>
      <w:r>
        <w:rPr>
          <w:color w:val="555555"/>
          <w:sz w:val="18"/>
        </w:rPr>
        <w:t xml:space="preserve">Historische Fassung: Stand 15.10.2021 bis 14.09.2024. Dies ist nicht die aktuelle Fassung.</w:t>
      </w:r>
    </w:p>
    <w:p>
      <w:r>
        <w:t xml:space="preserve">(1) Die gematik GmbH unterhält spätestens ab dem 30. November 2021 eine Koordinierungsstelle für Interoperabilität im Gesundheitswesen (Koordinierungsstelle).</w:t>
      </w:r>
    </w:p>
    <w:p>
      <w:r>
        <w:t xml:space="preserve">(2) Die Koordinierungsstelle hat die folgenden Aufgaben:</w:t>
      </w:r>
    </w:p>
    <w:p>
      <w:pPr>
        <w:ind w:left="420"/>
      </w:pPr>
      <w:r>
        <w:t xml:space="preserve">1. Identifikation der Bedarfe an Anforderungen, Richtlinien und Leitlinien von technischen, semantischen und syntaktischen Standards, Profilen und Leitfäden unter Berücksichtigung europäischer Anforderungen und internationaler Standards,</w:t>
      </w:r>
    </w:p>
    <w:p>
      <w:pPr>
        <w:ind w:left="420"/>
      </w:pPr>
      <w:r>
        <w:t xml:space="preserve">2. Priorisierung der Bedarfe nach Nummer 1,</w:t>
      </w:r>
    </w:p>
    <w:p>
      <w:pPr>
        <w:ind w:left="420"/>
      </w:pPr>
      <w:r>
        <w:t xml:space="preserve">3. Entwicklung und anlassbezogene und turnusmäßige, in der Regel zweijährige, Revision und Fortschreibung von Anforderungen, Richtlinien und Leitlinien von technischen, semantischen und syntaktischen Standards, Profilen und Leitfäden unter Berücksichtigung der Priorisierung nach Nummer 2,</w:t>
      </w:r>
    </w:p>
    <w:p>
      <w:pPr>
        <w:ind w:left="420"/>
      </w:pPr>
      <w:r>
        <w:t xml:space="preserve">4. Empfehlung und anlassbezogene und turnusmäßige, in der Regel zweijährige, Revision und Fortschreibung von Empfehlungen technischer, semantischer und syntaktischer Standards, Profile und Leitfäden und deren Veröffentlichung auf der Wissensplattform nach § 7,</w:t>
      </w:r>
    </w:p>
    <w:p>
      <w:pPr>
        <w:ind w:left="420"/>
      </w:pPr>
      <w:r>
        <w:t xml:space="preserve">5. initiale Ernennung eines Expertengremiums nach § 4,</w:t>
      </w:r>
    </w:p>
    <w:p>
      <w:pPr>
        <w:ind w:left="420"/>
      </w:pPr>
      <w:r>
        <w:t xml:space="preserve">6. Benennung von Experten nach § 5,</w:t>
      </w:r>
    </w:p>
    <w:p>
      <w:pPr>
        <w:ind w:left="420"/>
      </w:pPr>
      <w:r>
        <w:t xml:space="preserve">7. Einrichtung von IOP-Arbeitskreisen nach § 6,</w:t>
      </w:r>
    </w:p>
    <w:p>
      <w:pPr>
        <w:ind w:left="420"/>
      </w:pPr>
      <w:r>
        <w:t xml:space="preserve">8. jährliche Vorlage eines Berichts an das Bundesministerium für Gesundheit nach § 11 sowie monatliche Berichterstattung zum Stand der Arbeiten und geplanten Weiterentwicklungen,</w:t>
      </w:r>
    </w:p>
    <w:p>
      <w:pPr>
        <w:ind w:left="420"/>
      </w:pPr>
      <w:r>
        <w:t xml:space="preserve">9. Einholung und Bewertung von Stellungnahmen zur Erfüllung der Aufgaben nach den Nummern 1, 2, 3 und 4, insbesondere der Stellungnahmen des Bundesamtes für Sicherheit in der Informationstechnik und der oder des Bundesbeauftragten für den Datenschutz und die Informationsfreiheit, binnen vier Wochen nach Beschluss durch die Koordinierungsstelle,</w:t>
      </w:r>
    </w:p>
    <w:p>
      <w:pPr>
        <w:ind w:left="420"/>
      </w:pPr>
      <w:r>
        <w:t xml:space="preserve">10. Betrieb der Wissensplattform nach § 7,</w:t>
      </w:r>
    </w:p>
    <w:p>
      <w:pPr>
        <w:ind w:left="420"/>
      </w:pPr>
      <w:r>
        <w:t xml:space="preserve">11. Festlegung und Fortschreibung der Geschäfts- und Verfahrensordnung nach § 12,</w:t>
      </w:r>
    </w:p>
    <w:p>
      <w:pPr>
        <w:ind w:left="420"/>
      </w:pPr>
      <w:r>
        <w:t xml:space="preserve">12. Organisation und Koordination der Aufgaben nach den Nummern 1 bis 11.</w:t>
      </w:r>
    </w:p>
    <w:p>
      <w:r>
        <w:t xml:space="preserve">(3) Die Aufgaben nach Absatz 2 Nummer 1 bis 10 werden mittels öffentlich zugänglicher und nachvollziehbar dokumentierter Verfahren erfüllt.</w:t>
      </w:r>
    </w:p>
    <w:p>
      <w:r>
        <w:rPr>
          <w:color w:val="555555"/>
          <w:sz w:val="17"/>
        </w:rPr>
        <w:t xml:space="preserve">Zitiervorschlag: § 3 GIGV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