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GIGV — Inkrafttreten</w:t>
      </w:r>
    </w:p>
    <w:p>
      <w:r>
        <w:rPr>
          <w:color w:val="555555"/>
          <w:sz w:val="18"/>
        </w:rPr>
        <w:t xml:space="preserve">IOP-Governance-Verordnung</w:t>
      </w:r>
    </w:p>
    <w:p>
      <w:r>
        <w:rPr>
          <w:color w:val="555555"/>
          <w:sz w:val="18"/>
        </w:rPr>
        <w:t xml:space="preserve">Historische Fassung: Stand 15.10.2021 bis 14.09.2024.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14 GIGV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https://recht.nulegal.eu/gesetze/gigv--2021/14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