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GIGV — Geschäfts- und Verfahrensordnung</w:t>
      </w:r>
    </w:p>
    <w:p>
      <w:r>
        <w:rPr>
          <w:color w:val="555555"/>
          <w:sz w:val="18"/>
        </w:rPr>
        <w:t xml:space="preserve">IOP-Governance-Verordnung</w:t>
      </w:r>
    </w:p>
    <w:p>
      <w:r>
        <w:rPr>
          <w:color w:val="555555"/>
          <w:sz w:val="18"/>
        </w:rPr>
        <w:t xml:space="preserve">Historische Fassung: Stand 15.10.2021 bis 14.09.2024. Dies ist nicht die aktuelle Fassung.</w:t>
      </w:r>
    </w:p>
    <w:p>
      <w:r>
        <w:t xml:space="preserve">(1) Die Koordinierungsstelle gibt sich eine Geschäfts- und Verfahrensordnung. Die Geschäfts- und Verfahrensordnung ergänzt und operationalisiert die in dieser Verordnung getroffenen Regelungen zu</w:t>
      </w:r>
    </w:p>
    <w:p>
      <w:pPr>
        <w:ind w:left="420"/>
      </w:pPr>
      <w:r>
        <w:t xml:space="preserve">1. der Struktur und der Organisation der Koordinierungsstelle,</w:t>
      </w:r>
    </w:p>
    <w:p>
      <w:pPr>
        <w:ind w:left="420"/>
      </w:pPr>
      <w:r>
        <w:t xml:space="preserve">2. der Aufgabenausgestaltung der Koordinierungsstelle,</w:t>
      </w:r>
    </w:p>
    <w:p>
      <w:pPr>
        <w:ind w:left="420"/>
      </w:pPr>
      <w:r>
        <w:t xml:space="preserve">3. der Zusammensetzung der Koordinierungsstelle,</w:t>
      </w:r>
    </w:p>
    <w:p>
      <w:pPr>
        <w:ind w:left="420"/>
      </w:pPr>
      <w:r>
        <w:t xml:space="preserve">4. den bei der Aufgabenwahrnehmung anzuwendenden Verfahren,</w:t>
      </w:r>
    </w:p>
    <w:p>
      <w:pPr>
        <w:ind w:left="420"/>
      </w:pPr>
      <w:r>
        <w:t xml:space="preserve">5. den Modalitäten zur Beschlussfähigkeit, wobei dem vom Bundesministerium für Gesundheit entsandten außerordentlichen Mitglied ein Vetorecht einzuräumen ist und Beschlüsse mit Zweidrittelmehrheit zu treffen sind, wobei mindestens fünf Mitglieder ein Votum abzugeben haben, Umlaufbeschlüsse ermöglicht werden und Enthaltungen ausgeschlossen sind,</w:t>
      </w:r>
    </w:p>
    <w:p>
      <w:pPr>
        <w:ind w:left="420"/>
      </w:pPr>
      <w:r>
        <w:t xml:space="preserve">6. den Fristen für einzelne Handlungen und</w:t>
      </w:r>
    </w:p>
    <w:p>
      <w:pPr>
        <w:ind w:left="420"/>
      </w:pPr>
      <w:r>
        <w:t xml:space="preserve">7. der Erstattung von Aufwendungen.</w:t>
      </w:r>
    </w:p>
    <w:p>
      <w:r>
        <w:t xml:space="preserve">Darüber hinaus regelt die Geschäfts- und Verfahrensordnung Näheres zur Mitbestimmung des Expertengremiums, insbesondere hinsichtlich ihrer Aufgaben nach § 3 Absatz 2 Nummer 4 und 6, zur Aufnahme und Empfehlung von Standards sowie zum Betrieb der Wissensplattform.</w:t>
      </w:r>
    </w:p>
    <w:p>
      <w:r>
        <w:t xml:space="preserve">(2) Die Geschäfts- und Verfahrensordnung legt die Prozesse, Verfahren und Entscheidungsmechanismen zur Erfüllung der Aufgaben nach § 3 Absatz 2 über die in dieser Verordnung getroffenen Regelungen hinaus fest. Wesentliche Verfahrensschritte umfassen:</w:t>
      </w:r>
    </w:p>
    <w:p>
      <w:pPr>
        <w:ind w:left="420"/>
      </w:pPr>
      <w:r>
        <w:t xml:space="preserve">1. Einrichtung des Expertengremiums sowie Festlegung der konkreten Aufgaben, Arbeitsprozesse, Pflichten und Fristen nach § 4 sowie Sicherstellung, dass das Expertengremium binnen drei Monate nach erstmaliger Besetzung Bewertungskriterien definiert, anhand welcher über die Veröffentlichung technischer, semantischer und syntaktischer Standards, Profile und Leitfäden nach § 8, oder deren Ablehnung entschieden wird,</w:t>
      </w:r>
    </w:p>
    <w:p>
      <w:pPr>
        <w:ind w:left="420"/>
      </w:pPr>
      <w:r>
        <w:t xml:space="preserve">2. Benennung von Experten sowie Festlegung der konkreten Aufgaben, Arbeitsprozesse, Pflichten und Fristen nach § 5,</w:t>
      </w:r>
    </w:p>
    <w:p>
      <w:pPr>
        <w:ind w:left="420"/>
      </w:pPr>
      <w:r>
        <w:t xml:space="preserve">3. Einrichtung von IOP-Arbeitskreisen sowie Festlegung der konkreten Aufgaben, Arbeitsprozesse, Pflichten und Fristen nach § 6,</w:t>
      </w:r>
    </w:p>
    <w:p>
      <w:pPr>
        <w:ind w:left="420"/>
      </w:pPr>
      <w:r>
        <w:t xml:space="preserve">4. Regelungen zu Bewerbungs-, Aufnahme- und Absetzungsverfahren von Mitgliedern des Expertengremiums, Expertenkreises und der Arbeitskreise,</w:t>
      </w:r>
    </w:p>
    <w:p>
      <w:pPr>
        <w:ind w:left="420"/>
      </w:pPr>
      <w:r>
        <w:t xml:space="preserve">5. Festlegung der grundlegenden fachlichen, strukturellen und semantischen Rahmenbedingungen sowie Anforderungen an Datensicherheit in Bezug auf Standards, Profile und Leitfäden,</w:t>
      </w:r>
    </w:p>
    <w:p>
      <w:pPr>
        <w:ind w:left="420"/>
      </w:pPr>
      <w:r>
        <w:t xml:space="preserve">6. Einforderung bedarfsbezogener Stellungnahmen zu den Aufgaben nach § 3 Absatz 2 Nummer 9,</w:t>
      </w:r>
    </w:p>
    <w:p>
      <w:pPr>
        <w:ind w:left="420"/>
      </w:pPr>
      <w:r>
        <w:t xml:space="preserve">7. Berücksichtigung von Anforderungen und technischen, semantischen und syntaktischen Standards, Profile und Leitfäden sowie der Einbezug internationaler Experten,</w:t>
      </w:r>
    </w:p>
    <w:p>
      <w:pPr>
        <w:ind w:left="420"/>
      </w:pPr>
      <w:r>
        <w:t xml:space="preserve">8. Festlegung der Dokumentation und Offenlegung sämtlicher Arbeits- und Entscheidungsprozesse.</w:t>
      </w:r>
    </w:p>
    <w:p>
      <w:r>
        <w:t xml:space="preserve">(3) Die Geschäfts- und Verfahrensordnung legt sämtliche nicht im Rahmen dieser Rechtsverordnung geregelten Fristen für die Aufgaben nach § 3 Absatz 2 fest.</w:t>
      </w:r>
    </w:p>
    <w:p>
      <w:r>
        <w:t xml:space="preserve">(4) Der Entwurf der Geschäfts- und Verfahrensordnung ist dem Bundesministerium für Gesundheit zum 1. November 2021 vorzulegen. Die Geschäfts- und Verfahrensordnung wird mindestens alle zwei Jahre im Benehmen mit dem Expertengremium auf Aktualisierungsbedarfe geprüft und gegebenenfalls angepasst.</w:t>
      </w:r>
    </w:p>
    <w:p>
      <w:r>
        <w:t xml:space="preserve">(5) Das Bundesministerium für Gesundheit genehmigt die Geschäfts- und Verfahrensordnung nach Absatz 1.</w:t>
      </w:r>
    </w:p>
    <w:p>
      <w:r>
        <w:t xml:space="preserve">(6) Die Koordinierungsstelle veröffentlicht die Geschäfts- und Verfahrensordnung innerhalb von vier Wochen nach Genehmigung durch das Bundesministerium für Gesundheit auf der Wissensplattform.</w:t>
      </w:r>
    </w:p>
    <w:p>
      <w:r>
        <w:rPr>
          <w:color w:val="555555"/>
          <w:sz w:val="17"/>
        </w:rPr>
        <w:t xml:space="preserve">Zitiervorschlag: § 12 GIGV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https://recht.nulegal.eu/gesetze/gigv--2021/12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