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GIGV — Beachtung der Festlegungen und Empfehlungen bei der Finanzierung aus Mitteln der Gesetzlichen Krankenversicherung sowie öffentlicher Mittel</w:t>
      </w:r>
    </w:p>
    <w:p>
      <w:r>
        <w:rPr>
          <w:color w:val="555555"/>
          <w:sz w:val="18"/>
        </w:rPr>
        <w:t xml:space="preserve">IOP-Governance-Verordnung</w:t>
      </w:r>
    </w:p>
    <w:p>
      <w:r>
        <w:rPr>
          <w:color w:val="555555"/>
          <w:sz w:val="18"/>
        </w:rPr>
        <w:t xml:space="preserve">Historische Fassung: Stand 15.10.2021 bis 14.09.2024. Dies ist nicht die aktuelle Fassung.</w:t>
      </w:r>
    </w:p>
    <w:p>
      <w:r>
        <w:t xml:space="preserve">(1) Informationstechnische Systeme im Gesundheitswesen, die im Rahmen der gesundheitsbezogenen Leistungserbringung genutzt werden oder aus öffentlichen Mitteln des Bundesministeriums für Gesundheit oder aus Mitteln der gesetzlichen Krankenversicherung ganz oder teilweise finanziert werden, müssen derart gestaltet sein, dass die in der Anlage zu dieser Rechtsverordnung verbindlich erklärten Empfehlungen innerhalb von 24 Monaten nach Empfehlung vollständig berücksichtigt sind. Die Frist zur Umsetzung beginnt, sobald die verbindlichen Empfehlungen in der Anlage zur Rechtsverordnung aufgenommen sind. Die Frist zur Umsetzung von Anpassungen an bereits verbindlich erklärte Empfehlungen beträgt zwölf Monate. Die Anlage wird jährlich zum Stichtag 30. Juni durch das Bundesministerium für Gesundheit aktualisiert. Ausnahme hiervon bilden Anpassungen bereits verbindlich erklärter Empfehlungen, die zusätzlich zum Stichtag 1. Februar aufgenommen werden können sowie inhaltliche und formale Korrekturen, die jederzeit vorgenommen werden können.</w:t>
      </w:r>
    </w:p>
    <w:p>
      <w:r>
        <w:t xml:space="preserve">(2) Sofern gesetzliche Regelungen des Fünften Buches Sozialgesetzbuch kürzere Fristen zu der in Absatz 1 festgelegten Frist vorsehen, sind diese zu beachten.</w:t>
      </w:r>
    </w:p>
    <w:p>
      <w:r>
        <w:t xml:space="preserve">(3) Abweichend von Absatz 1 kann über 24 Monate hinaus ein Einsatz erfolgen, wenn dies aus medizinischen Gründen erforderlich ist oder die regelmäßige Versorgung der Versicherten andernfalls nicht gewährleistet wäre.</w:t>
      </w:r>
    </w:p>
    <w:p>
      <w:r>
        <w:rPr>
          <w:color w:val="555555"/>
          <w:sz w:val="17"/>
        </w:rPr>
        <w:t xml:space="preserve">Zitiervorschlag: § 10 GIGV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