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GIGV — Zweck der Verordnung</w:t>
      </w:r>
    </w:p>
    <w:p>
      <w:r>
        <w:rPr>
          <w:color w:val="555555"/>
          <w:sz w:val="18"/>
        </w:rPr>
        <w:t xml:space="preserve">IOP-Governance-Verordnung</w:t>
      </w:r>
    </w:p>
    <w:p>
      <w:r>
        <w:rPr>
          <w:color w:val="555555"/>
          <w:sz w:val="18"/>
        </w:rPr>
        <w:t xml:space="preserve">Historische Fassung: Stand 15.10.2021 bis 14.09.2024. Dies ist nicht die aktuelle Fassung.</w:t>
      </w:r>
    </w:p>
    <w:p>
      <w:r>
        <w:t xml:space="preserve">Zweck dieser Verordnung ist es, durch die Errichtung einer Koordinierungsstelle die Voraussetzung für die Förderung von Interoperabilität informationstechnischer Systeme und die vernetzte Zusammenarbeit von Leistungserbringern zu schaffen.</w:t>
      </w:r>
    </w:p>
    <w:p>
      <w:r>
        <w:rPr>
          <w:color w:val="555555"/>
          <w:sz w:val="17"/>
        </w:rPr>
        <w:t xml:space="preserve">Zitiervorschlag: § 1 GIGV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https://recht.nulegal.eu/gesetze/gigv--2021/1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