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GenTSV — Anforderungen an die Abwasser- und Abfallbehandlung</w:t>
      </w:r>
    </w:p>
    <w:p>
      <w:r>
        <w:rPr>
          <w:color w:val="555555"/>
          <w:sz w:val="18"/>
        </w:rPr>
        <w:t xml:space="preserve">Gentechnik-Sicherheitsverordnung</w:t>
      </w:r>
    </w:p>
    <w:p>
      <w:r>
        <w:rPr>
          <w:color w:val="555555"/>
          <w:sz w:val="18"/>
        </w:rPr>
        <w:t xml:space="preserve">Historische Fassung: Stand 10.06.2019 bis 01.03.2021. Dies ist nicht die aktuelle Fassung.</w:t>
      </w:r>
    </w:p>
    <w:p>
      <w:r>
        <w:t xml:space="preserve">(1) Abwasser sowie flüssiger und fester Abfall aus Anlagen, in denen gentechnische Arbeiten durchgeführt werden, sind im Hinblick auf die von gentechnisch veränderten Organismen ausgehenden Gefahren nach dem Stand der Wissenschaft und Technik unschädlich zu entsorgen. Nach anderen Vorschriften zu stellende Anforderungen an die Abwasser- und Abfallentsorgung bleiben unberührt.</w:t>
      </w:r>
    </w:p>
    <w:p>
      <w:r>
        <w:t xml:space="preserve">(2) Dusch- und Handwaschwasser sowie vergleichbare Abwässer aus Anlagen, in denen gentechnische Arbeiten der Sicherheitsstufe 1 oder 2 nach § 7 Abs. 1 Satz 2 Nr. 1 oder 2 Gentechnikgesetz durchgeführt werden, können ohne besondere Vorbehandlung entsorgt werden. Flüssiger und fester Abfall aus Anlagen dieser Sicherheitsstufen, der nicht in unmittelbarem Zusammenhang mit gentechnischen Arbeiten angefallen ist, kann ohne besondere Vorbehandlung entsorgt werden. Sonstiges Abwasser und Abfall aus Anlagen, in denen gentechnische Arbeiten der Sicherheitsstufe 1 nach § 7 Abs. 1 Satz 2 Nr. 1 Gentechnikgesetz durchgeführt werden, kann ohne besondere Vorbehandlung entsorgt werden, wenn</w:t>
      </w:r>
    </w:p>
    <w:p>
      <w:pPr>
        <w:ind w:left="420"/>
      </w:pPr>
      <w:r>
        <w:t xml:space="preserve">a) zur Herstellung der gentechnisch veränderten Organismen als Empfängerorganismen</w:t>
      </w:r>
    </w:p>
    <w:p>
      <w:pPr>
        <w:ind w:left="780"/>
      </w:pPr>
      <w:r>
        <w:t xml:space="preserve">aa) solche Stämme von Mikroorganismen verwendet werden, die nach folgenden Kriterien bereits der Risikogruppe 1 zugeordnet worden sind:</w:t>
      </w:r>
    </w:p>
    <w:p>
      <w:pPr>
        <w:ind w:left="1140"/>
      </w:pPr>
      <w:r>
        <w:t xml:space="preserve">aaa) sie stellen nach dem Stand der Wissenschaft kein Risiko für die menschliche Gesundheit und die Umwelt dar,</w:t>
      </w:r>
    </w:p>
    <w:p>
      <w:pPr>
        <w:ind w:left="1140"/>
      </w:pPr>
      <w:r>
        <w:t xml:space="preserve">bbb) sie sind nicht human-, tier- oder pflanzenpathogen,</w:t>
      </w:r>
    </w:p>
    <w:p>
      <w:pPr>
        <w:ind w:left="1140"/>
      </w:pPr>
      <w:r>
        <w:t xml:space="preserve">ccc) sie geben keine Organismen höherer Risikogruppen ab,</w:t>
      </w:r>
    </w:p>
    <w:p>
      <w:pPr>
        <w:ind w:left="1140"/>
      </w:pPr>
      <w:r>
        <w:t xml:space="preserve">ddd) sie zeichnen sich aus durch experimentell erwiesene oder langfristig sichere Anwendung oder eingebaute biologische Schranken, die ohne Beeinträchtigung eines optimalen Wachstums im Fermenter die Überlebensfähigkeit und Replikationsfähigkeit in der Umwelt begrenzen</w:t>
      </w:r>
    </w:p>
    <w:p>
      <w:pPr>
        <w:ind w:left="780"/>
      </w:pPr>
      <w:r>
        <w:t xml:space="preserve">und die Vektoren die Bedingungen des § 6 Abs. 5 erfüllen oder</w:t>
      </w:r>
    </w:p>
    <w:p>
      <w:pPr>
        <w:ind w:left="780"/>
      </w:pPr>
      <w:r>
        <w:t xml:space="preserve">bb) Tiere oder Pflanzen verwendet werden, von denen schädliche Einwirkungen auf die in § 1 Nr. 1 Gentechnikgesetz bezeichneten Rechtsgüter nicht zu erwarten sind, oder</w:t>
      </w:r>
    </w:p>
    <w:p>
      <w:pPr>
        <w:ind w:left="420"/>
      </w:pPr>
      <w:r>
        <w:t xml:space="preserve">b) das sonstige Abwasser oder der Abfall so gering kontaminiert ist, daß schädliche Einwirkungen auf die in § 1 Nr. 1 Gentechnikgesetz bezeichneten Rechtsgüter nicht zu erwarten sind.</w:t>
      </w:r>
    </w:p>
    <w:p>
      <w:r>
        <w:t xml:space="preserve">(3) Abwasser sowie flüssiger und fester Abfall aus Anlagen, in denen gentechnische Arbeiten der Sicherheitsstufe 1 oder 2 nach § 7 Abs. 1 Satz 2 Nr. 1 oder 2 Gentechnikgesetz durchgeführt werden, und auf die Absatz 2 keine Anwendung findet, sind so vorzubehandeln, daß die darin enthaltenen gentechnisch veränderten Organismen soweit inaktiviert werden, daß Gefahren für die in § 1 Nr. 1 Gentechnikgesetz bezeichneten Rechtsgüter nicht zu erwarten sind. Die Anforderungen nach Satz 1 gelten als erfüllt, wenn mittels einer Inaktivierungskinetik nachgewiesen wird, daß die Inaktivierungsdauer mindestens dem Wert entspricht, bei dem keine Vermehrungsfähigkeit und gegebenenfalls keine Infektionsfähigkeit des gentechnisch veränderten Organismus mehr beobachtet wird. Als Methoden der Abwasser- und Abfallbehandlung kommen insbesondere in Betracht:</w:t>
      </w:r>
    </w:p>
    <w:p>
      <w:pPr>
        <w:ind w:left="420"/>
      </w:pPr>
      <w:r>
        <w:t xml:space="preserve">1. Inaktivierung durch physikalische Verfahren, wie durch Einwirkung von bestimmten Temperatur- und Druckbedingungen auf gentechnisch veränderte Organismen während bestimmter Verweilzeiten oder - soweit die Beschaffenheit des Abfalls oder des Abwassers ein physikalisches Inaktivierungsverfahren nicht zulässt -</w:t>
      </w:r>
    </w:p>
    <w:p>
      <w:pPr>
        <w:ind w:left="420"/>
      </w:pPr>
      <w:r>
        <w:t xml:space="preserve">2. Inaktivierung mit chemischen Verfahren durch Einwirkung von geeigneten Chemikalien unter bestimmten Temperatur-, Verweilzeit- und Konzentrationsbedingungen:</w:t>
      </w:r>
    </w:p>
    <w:p>
      <w:r>
        <w:t xml:space="preserve">(4) Die Anforderungen aus Absatz 3 Satz 2 in Verbindung mit Satz 3 Nr. 1 werden in der Regel dadurch erfüllt, dass das Abwasser und der Abfall bei einer Temperatur von 121 Grad C für die Dauer von 20 Minuten autoklaviert werden. In Anwesenheit von extrem thermostabilen Organismen oder Sporen soll eine Erhöhung der Temperatur auf 134 Grad C erfolgen. Die Anforderungen des Absatzes 3 Satz 2 in Verbindung mit Satz 3 Nr. 1 gelten auch als erfüllt, wenn zur Inaktivierung von Abfall oder Abwasser ein thermisches Verfahren aus der Liste nach § 18 des Infektionsschutzgesetzes angewandt wird. Auf Antrag kann die Genehmigungsbehörde auch andere physikalische Verfahren zulassen. Die Genehmigungsbehörde kann auf Antrag Verfahren zur chemischen Inaktivierung zulassen, wenn sichergestellt ist, dass sie umweltverträglich sind und die Anforderungen aus Absatz 3 im Übrigen eingehalten werden. Insbesondere dürfen keine Hinweise dafür vorliegen, dass von den eingesetzten Inaktivierungsstoffen schädliche Auswirkungen auf eine nachgeschaltete Abwasserbehandlungsanlage, auf Gewässer oder die nachfolgende Entsorgung als Abfall ausgehen.</w:t>
      </w:r>
    </w:p>
    <w:p>
      <w:r>
        <w:t xml:space="preserve">(5) Flüssiger und fester Abfall und erforderlichenfalls Abwasser aus Anlagen, in denen gentechnische Arbeiten der Sicherheitsstufe 3 nach § 7 Abs. 1 Satz 2 Nr. 3 des Gentechnikgesetzes sowie flüssiger und fester Abfall und Abwasser aus Anlagen, in denen gentechnische Arbeiten der Sicherheitsstufe 4 nach § 7 Abs. 1 Satz 2 Nr. 4 des Gentechnikgesetzes durchgeführt werden, sind in der Anlage durch Autoklavieren bei einer Temperatur von 121 Grad C für die Dauer von 20 Minuten zu sterilisieren. In Anwesenheit von extrem thermostabilen Organismen oder Sporen soll eine Erhöhung der Temperatur auf 134 Grad C erfolgen. Auf Antrag kann die Genehmigungsbehörde auch andere thermische Verfahren zur Sterilisierung zulassen. Die Zentrale Kommission für die Biologische Sicherheit gibt bei ihrer Stellungnahme zur Sicherheitseinstufung einer gentechnischen Arbeit der Sicherheitsstufe 3 und zu den erforderlichen Sicherheitsmaßnahmen auch einen Hinweis zur Erforderlichkeit der Abwasserbehandlung. Die Einhaltung der Temperatur und Dauer der Sterilisierung ist durch selbstschreibende Geräte zu protokollieren. Die Geräte zur Überprüfung der Temperatur und Dauer der Sterilisierung sind so auszulegen, dass bei Nichteinhaltung der Anforderungen eine Freisetzung von Organismen ausgeschlossen ist. Während der Sterilisierung ist eine homogene Temperaturverteilung sicherzustellen. Der Sterilisierungserfolg ist durch geeignete Verfahren vom Betreiber zu überprüfen. Kühlsysteme sind so auszubilden, dass eine Kühlwasserbelastung mit gentechnisch veränderten Organismen ausgeschlossen ist. Soweit eine Sterilisierung durch thermische Verfahren nicht möglich ist, kann die Genehmigungsbehörde auf Antrag auch chemische Sterilisierungsverfahren zulassen. Diese müssen umweltverträglich sein. Insbesondere dürfen keine Hinweise darauf vorliegen, dass von den eingesetzten Stoffen schädliche Auswirkungen auf eine nachgeschaltete Abwasserbehandlungsanlage, auf Gewässer oder die nachfolgende Entsorgung als Abfall ausgehen. Die homogene Chemikalienverteilung ist sicherzustellen und die Betriebsdaten, wie z. B. die Chemikaliendosis, sind aufzuzeichnen.</w:t>
      </w:r>
    </w:p>
    <w:p>
      <w:r>
        <w:t xml:space="preserve">(6) Geräte, Teile von Geräten oder Abfall aus Anlagen, in denen gentechnische Arbeiten der Sicherheitsstufen 3 und 4 nach § 7 Abs. 1 Satz 2 Nr. 3 und 4 Gentechnikgesetz durchgeführt werden, sind zur Sterilisierung in sicheren, dicht verschlossenen, entsprechend gekennzeichneten und außen desinfizierten Behältern in eine andere gentechnische Anlage zu überführen, wenn sie wegen ihrer Art oder Größe nicht in der Anlage sterilisiert werden können.</w:t>
      </w:r>
    </w:p>
    <w:p>
      <w:r>
        <w:rPr>
          <w:color w:val="555555"/>
          <w:sz w:val="17"/>
        </w:rPr>
        <w:t xml:space="preserve">Zitiervorschlag: § 13 GenTSV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https://recht.nulegal.eu/gesetze/gentsv--1990/13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GenTSV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